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7EC20A3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991AE2">
        <w:t>20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794CF0" w:rsidRPr="00794CF0">
        <w:rPr>
          <w:bCs/>
          <w:sz w:val="32"/>
          <w:szCs w:val="32"/>
        </w:rPr>
        <w:t>R2-2212004</w:t>
      </w:r>
    </w:p>
    <w:p w14:paraId="0DEF01D1" w14:textId="558AA5F1" w:rsidR="00E90E49" w:rsidRPr="00CE0424" w:rsidRDefault="00991AE2" w:rsidP="00311702">
      <w:pPr>
        <w:pStyle w:val="3GPPHeader"/>
      </w:pPr>
      <w:r>
        <w:t>Toulouse, France</w:t>
      </w:r>
      <w:r w:rsidR="00C268E6">
        <w:t>, 202</w:t>
      </w:r>
      <w:r w:rsidR="00DF66E1">
        <w:t>2-</w:t>
      </w:r>
      <w:r w:rsidR="00A03143">
        <w:t>1</w:t>
      </w:r>
      <w:r>
        <w:t>1</w:t>
      </w:r>
      <w:r w:rsidR="00DF66E1">
        <w:t>-</w:t>
      </w:r>
      <w:r w:rsidR="00A03143">
        <w:t>1</w:t>
      </w:r>
      <w:r>
        <w:t>4</w:t>
      </w:r>
      <w:r w:rsidR="00DF66E1">
        <w:t xml:space="preserve"> - 2022-</w:t>
      </w:r>
      <w:r w:rsidR="00A03143">
        <w:t>1</w:t>
      </w:r>
      <w:r>
        <w:t>1</w:t>
      </w:r>
      <w:r w:rsidR="00DF66E1">
        <w:t>-</w:t>
      </w:r>
      <w:r>
        <w:t>18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5AC572BA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B25721" w:rsidRPr="001653CD">
        <w:rPr>
          <w:sz w:val="22"/>
          <w:szCs w:val="22"/>
        </w:rPr>
        <w:t>8.10.</w:t>
      </w:r>
      <w:r w:rsidR="00884706" w:rsidRPr="001653CD">
        <w:rPr>
          <w:sz w:val="22"/>
          <w:szCs w:val="22"/>
        </w:rPr>
        <w:t>3</w:t>
      </w:r>
      <w:r w:rsidR="00B25721" w:rsidRPr="00F955EE">
        <w:rPr>
          <w:sz w:val="22"/>
          <w:szCs w:val="22"/>
        </w:rPr>
        <w:t xml:space="preserve"> </w:t>
      </w:r>
      <w:r w:rsidR="00884706" w:rsidRPr="00F955EE">
        <w:rPr>
          <w:sz w:val="22"/>
          <w:szCs w:val="22"/>
        </w:rPr>
        <w:t>T</w:t>
      </w:r>
      <w:r w:rsidR="00B25721" w:rsidRPr="00F955EE">
        <w:rPr>
          <w:sz w:val="22"/>
          <w:szCs w:val="22"/>
        </w:rPr>
        <w:t>DM</w:t>
      </w:r>
      <w:r w:rsidR="00B25721" w:rsidRPr="00B25721">
        <w:rPr>
          <w:sz w:val="22"/>
          <w:szCs w:val="22"/>
        </w:rPr>
        <w:t xml:space="preserve"> solution enhancements</w:t>
      </w:r>
    </w:p>
    <w:p w14:paraId="36E7B6AB" w14:textId="77777777" w:rsidR="00E90E49" w:rsidRPr="009D484E" w:rsidRDefault="003D3C45" w:rsidP="00F64C2B">
      <w:pPr>
        <w:pStyle w:val="3GPPHeader"/>
        <w:rPr>
          <w:sz w:val="22"/>
          <w:szCs w:val="22"/>
        </w:rPr>
      </w:pPr>
      <w:r w:rsidRPr="009D484E">
        <w:rPr>
          <w:sz w:val="22"/>
          <w:szCs w:val="22"/>
        </w:rPr>
        <w:t>Source:</w:t>
      </w:r>
      <w:r w:rsidR="00E90E49" w:rsidRPr="009D484E">
        <w:rPr>
          <w:sz w:val="22"/>
          <w:szCs w:val="22"/>
        </w:rPr>
        <w:tab/>
      </w:r>
      <w:r w:rsidR="00F64C2B" w:rsidRPr="009D484E">
        <w:rPr>
          <w:sz w:val="22"/>
          <w:szCs w:val="22"/>
        </w:rPr>
        <w:t>Ericsson</w:t>
      </w:r>
    </w:p>
    <w:p w14:paraId="72579376" w14:textId="363E0ABE" w:rsidR="00E90E49" w:rsidRPr="009D484E" w:rsidRDefault="003D3C45" w:rsidP="00311702">
      <w:pPr>
        <w:pStyle w:val="3GPPHeader"/>
        <w:rPr>
          <w:sz w:val="22"/>
          <w:szCs w:val="22"/>
        </w:rPr>
      </w:pPr>
      <w:r w:rsidRPr="009D484E">
        <w:rPr>
          <w:sz w:val="22"/>
          <w:szCs w:val="22"/>
        </w:rPr>
        <w:t>Title:</w:t>
      </w:r>
      <w:r w:rsidR="00E90E49" w:rsidRPr="009D484E">
        <w:rPr>
          <w:sz w:val="22"/>
          <w:szCs w:val="22"/>
        </w:rPr>
        <w:tab/>
      </w:r>
      <w:r w:rsidR="00F57101">
        <w:rPr>
          <w:sz w:val="22"/>
          <w:szCs w:val="22"/>
        </w:rPr>
        <w:t xml:space="preserve">NR </w:t>
      </w:r>
      <w:r w:rsidR="00843DCD">
        <w:rPr>
          <w:sz w:val="22"/>
          <w:szCs w:val="22"/>
        </w:rPr>
        <w:t>IDC</w:t>
      </w:r>
      <w:r w:rsidR="003B1091">
        <w:rPr>
          <w:sz w:val="22"/>
          <w:szCs w:val="22"/>
        </w:rPr>
        <w:t xml:space="preserve"> </w:t>
      </w:r>
      <w:r w:rsidR="00843DCD">
        <w:rPr>
          <w:sz w:val="22"/>
          <w:szCs w:val="22"/>
        </w:rPr>
        <w:t>TDM</w:t>
      </w:r>
      <w:r w:rsidR="003B1091">
        <w:rPr>
          <w:sz w:val="22"/>
          <w:szCs w:val="22"/>
        </w:rPr>
        <w:t xml:space="preserve"> </w:t>
      </w:r>
      <w:r w:rsidR="00843DCD">
        <w:rPr>
          <w:sz w:val="22"/>
          <w:szCs w:val="22"/>
        </w:rPr>
        <w:t xml:space="preserve">solutions and </w:t>
      </w:r>
      <w:r w:rsidR="003B1091">
        <w:rPr>
          <w:sz w:val="22"/>
          <w:szCs w:val="22"/>
        </w:rPr>
        <w:t>indications</w:t>
      </w:r>
      <w:r w:rsidR="00991AE2" w:rsidRPr="009D484E">
        <w:rPr>
          <w:sz w:val="22"/>
          <w:szCs w:val="22"/>
        </w:rPr>
        <w:t xml:space="preserve"> </w:t>
      </w:r>
    </w:p>
    <w:p w14:paraId="24C111CD" w14:textId="77777777" w:rsidR="00E90E49" w:rsidRPr="009D484E" w:rsidRDefault="00E90E49" w:rsidP="00D546FF">
      <w:pPr>
        <w:pStyle w:val="3GPPHeader"/>
        <w:rPr>
          <w:sz w:val="22"/>
          <w:szCs w:val="22"/>
        </w:rPr>
      </w:pPr>
      <w:r w:rsidRPr="009D484E">
        <w:rPr>
          <w:sz w:val="22"/>
          <w:szCs w:val="22"/>
        </w:rPr>
        <w:t>Document for:</w:t>
      </w:r>
      <w:r w:rsidRPr="009D484E">
        <w:rPr>
          <w:sz w:val="22"/>
          <w:szCs w:val="22"/>
        </w:rPr>
        <w:tab/>
        <w:t>Discussion, Decision</w:t>
      </w:r>
    </w:p>
    <w:p w14:paraId="1DD4A9BC" w14:textId="77777777" w:rsidR="00E90E49" w:rsidRPr="009D484E" w:rsidRDefault="00E90E49" w:rsidP="00E90E49"/>
    <w:p w14:paraId="028056FC" w14:textId="059560A6" w:rsidR="00E90E49" w:rsidRDefault="00E90E49" w:rsidP="00D545DE">
      <w:pPr>
        <w:pStyle w:val="Heading1"/>
        <w:numPr>
          <w:ilvl w:val="0"/>
          <w:numId w:val="30"/>
        </w:numPr>
      </w:pPr>
      <w:r w:rsidRPr="009D484E">
        <w:t>Introduction</w:t>
      </w:r>
    </w:p>
    <w:p w14:paraId="597B4C77" w14:textId="77777777" w:rsidR="00D545DE" w:rsidRPr="00D545DE" w:rsidRDefault="00D545DE" w:rsidP="00D545DE">
      <w:r w:rsidRPr="00D545DE">
        <w:t>The IDC WID has the following objectives, in were TDM solutions have the following targets: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788"/>
      </w:tblGrid>
      <w:tr w:rsidR="00D545DE" w:rsidRPr="00D545DE" w14:paraId="30F627B7" w14:textId="77777777" w:rsidTr="00134D03">
        <w:tc>
          <w:tcPr>
            <w:tcW w:w="8788" w:type="dxa"/>
          </w:tcPr>
          <w:p w14:paraId="6A3148D2" w14:textId="77777777" w:rsidR="00D545DE" w:rsidRPr="00D545DE" w:rsidRDefault="00D545DE" w:rsidP="00D545DE">
            <w:pPr>
              <w:rPr>
                <w:rFonts w:eastAsia="Times New Roman"/>
                <w:sz w:val="20"/>
                <w:szCs w:val="20"/>
                <w:lang w:val="en-GB"/>
              </w:rPr>
            </w:pPr>
            <w:r w:rsidRPr="00D545DE">
              <w:rPr>
                <w:rFonts w:eastAsia="Times New Roman"/>
                <w:sz w:val="20"/>
                <w:szCs w:val="20"/>
                <w:lang w:val="en-GB"/>
              </w:rPr>
              <w:t>3</w:t>
            </w:r>
            <w:r w:rsidRPr="00D545DE">
              <w:rPr>
                <w:rFonts w:eastAsia="Times New Roman"/>
                <w:sz w:val="20"/>
                <w:szCs w:val="20"/>
                <w:lang w:val="en-GB"/>
              </w:rPr>
              <w:tab/>
              <w:t>Justification</w:t>
            </w:r>
          </w:p>
          <w:p w14:paraId="7FC38716" w14:textId="77777777" w:rsidR="00D545DE" w:rsidRPr="00D545DE" w:rsidRDefault="00D545DE" w:rsidP="00D545DE">
            <w:pPr>
              <w:rPr>
                <w:rFonts w:eastAsia="Times New Roman"/>
                <w:sz w:val="20"/>
                <w:szCs w:val="20"/>
                <w:lang w:val="en-GB"/>
              </w:rPr>
            </w:pPr>
            <w:r w:rsidRPr="00D545DE">
              <w:rPr>
                <w:rFonts w:eastAsia="Times New Roman"/>
                <w:sz w:val="20"/>
                <w:szCs w:val="20"/>
                <w:lang w:val="en-GB"/>
              </w:rPr>
              <w:t xml:space="preserve">As a general assumption, IDC is assumed to work as follows: </w:t>
            </w:r>
          </w:p>
          <w:p w14:paraId="0B225F4A" w14:textId="77777777" w:rsidR="00D545DE" w:rsidRPr="00D545DE" w:rsidRDefault="00D545DE" w:rsidP="00D545DE">
            <w:pPr>
              <w:numPr>
                <w:ilvl w:val="0"/>
                <w:numId w:val="32"/>
              </w:numPr>
              <w:rPr>
                <w:rFonts w:eastAsia="Times New Roman"/>
                <w:sz w:val="20"/>
                <w:szCs w:val="20"/>
                <w:lang w:val="en-GB"/>
              </w:rPr>
            </w:pPr>
            <w:r w:rsidRPr="00D545DE">
              <w:rPr>
                <w:rFonts w:eastAsia="Times New Roman"/>
                <w:sz w:val="20"/>
                <w:szCs w:val="20"/>
                <w:lang w:val="en-GB"/>
              </w:rPr>
              <w:t xml:space="preserve">The UE detects internal issue or the possibility of internal issue caused by coexistence related to usage of certain radio resources, that the UE cannot resolve by itself. </w:t>
            </w:r>
          </w:p>
          <w:p w14:paraId="40AE5CF2" w14:textId="77777777" w:rsidR="00D545DE" w:rsidRPr="00D545DE" w:rsidRDefault="00D545DE" w:rsidP="00D545DE">
            <w:pPr>
              <w:numPr>
                <w:ilvl w:val="0"/>
                <w:numId w:val="32"/>
              </w:numPr>
              <w:rPr>
                <w:rFonts w:eastAsia="Times New Roman"/>
                <w:sz w:val="20"/>
                <w:szCs w:val="20"/>
                <w:lang w:val="en-GB"/>
              </w:rPr>
            </w:pPr>
            <w:r w:rsidRPr="00D545DE">
              <w:rPr>
                <w:rFonts w:eastAsia="Times New Roman"/>
                <w:sz w:val="20"/>
                <w:szCs w:val="20"/>
                <w:lang w:val="en-GB"/>
              </w:rPr>
              <w:t xml:space="preserve">The UE provides information to the gNB to assist that the gNB may restrict radio resource usage to avoid the UE internal issue (or potential issue) caused by coexistence. </w:t>
            </w:r>
          </w:p>
          <w:p w14:paraId="7C307931" w14:textId="77777777" w:rsidR="00D545DE" w:rsidRPr="00D545DE" w:rsidRDefault="00D545DE" w:rsidP="00D545DE">
            <w:pPr>
              <w:rPr>
                <w:rFonts w:eastAsia="Times New Roman"/>
                <w:sz w:val="20"/>
                <w:szCs w:val="20"/>
                <w:lang w:val="en-GB"/>
              </w:rPr>
            </w:pPr>
            <w:r w:rsidRPr="00D545DE">
              <w:rPr>
                <w:rFonts w:eastAsia="Times New Roman"/>
                <w:sz w:val="20"/>
                <w:szCs w:val="20"/>
                <w:lang w:val="en-GB"/>
              </w:rPr>
              <w:t xml:space="preserve">The current IDC solution in NR has the following limitations: It does not support well interference mitigation between 3GPP and other RAT, as e.g. the affected frequencies cannot be adequately indicated via the NR FDM solution. </w:t>
            </w:r>
            <w:r w:rsidRPr="00D545DE">
              <w:rPr>
                <w:rFonts w:eastAsia="Times New Roman"/>
                <w:sz w:val="20"/>
                <w:szCs w:val="20"/>
                <w:highlight w:val="yellow"/>
                <w:lang w:val="en-GB"/>
              </w:rPr>
              <w:t>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      </w:r>
          </w:p>
          <w:p w14:paraId="6AA63F5D" w14:textId="77777777" w:rsidR="00D545DE" w:rsidRPr="00D545DE" w:rsidRDefault="00D545DE" w:rsidP="00D545DE">
            <w:pPr>
              <w:rPr>
                <w:rFonts w:eastAsia="Times New Roman"/>
                <w:sz w:val="20"/>
                <w:szCs w:val="20"/>
                <w:lang w:val="en-GB"/>
              </w:rPr>
            </w:pPr>
            <w:r w:rsidRPr="00D545DE">
              <w:rPr>
                <w:rFonts w:eastAsia="Times New Roman"/>
                <w:sz w:val="20"/>
                <w:szCs w:val="20"/>
                <w:lang w:val="en-GB"/>
              </w:rPr>
              <w:t>4</w:t>
            </w:r>
            <w:r w:rsidRPr="00D545DE">
              <w:rPr>
                <w:rFonts w:eastAsia="Times New Roman"/>
                <w:sz w:val="20"/>
                <w:szCs w:val="20"/>
                <w:lang w:val="en-GB"/>
              </w:rPr>
              <w:tab/>
              <w:t>Objective</w:t>
            </w:r>
          </w:p>
          <w:p w14:paraId="06D9C8A7" w14:textId="77777777" w:rsidR="00D545DE" w:rsidRPr="00D545DE" w:rsidRDefault="00D545DE" w:rsidP="00D545DE">
            <w:pPr>
              <w:rPr>
                <w:rFonts w:eastAsia="Times New Roman"/>
                <w:sz w:val="20"/>
                <w:szCs w:val="20"/>
                <w:lang w:val="en-GB"/>
              </w:rPr>
            </w:pPr>
            <w:r w:rsidRPr="00D545DE">
              <w:rPr>
                <w:rFonts w:eastAsia="Times New Roman"/>
                <w:sz w:val="20"/>
                <w:szCs w:val="20"/>
                <w:lang w:val="en-GB"/>
              </w:rPr>
              <w:t>4.1</w:t>
            </w:r>
            <w:r w:rsidRPr="00D545DE">
              <w:rPr>
                <w:rFonts w:eastAsia="Times New Roman"/>
                <w:sz w:val="20"/>
                <w:szCs w:val="20"/>
                <w:lang w:val="en-GB"/>
              </w:rPr>
              <w:tab/>
              <w:t>Objective of SI or Core part WI or Testing part WI</w:t>
            </w:r>
          </w:p>
          <w:p w14:paraId="6BF3576D" w14:textId="77777777" w:rsidR="00D545DE" w:rsidRPr="00D545DE" w:rsidRDefault="00D545DE" w:rsidP="00D545DE">
            <w:pPr>
              <w:rPr>
                <w:rFonts w:eastAsia="Times New Roman"/>
                <w:sz w:val="20"/>
                <w:szCs w:val="20"/>
                <w:lang w:val="en-GB"/>
              </w:rPr>
            </w:pPr>
            <w:r w:rsidRPr="00D545DE">
              <w:rPr>
                <w:rFonts w:eastAsia="Times New Roman"/>
                <w:sz w:val="20"/>
                <w:szCs w:val="20"/>
                <w:lang w:val="en-GB"/>
              </w:rPr>
              <w:t xml:space="preserve">This WI expects to address interference between 3GPP (including various MR-DC architectures, i.e. NR-DC and EN-DC) and non-3GPP RAT (e.g. </w:t>
            </w:r>
            <w:proofErr w:type="spellStart"/>
            <w:r w:rsidRPr="00D545DE">
              <w:rPr>
                <w:rFonts w:eastAsia="Times New Roman"/>
                <w:sz w:val="20"/>
                <w:szCs w:val="20"/>
                <w:lang w:val="en-GB"/>
              </w:rPr>
              <w:t>WiFi</w:t>
            </w:r>
            <w:proofErr w:type="spellEnd"/>
            <w:r w:rsidRPr="00D545DE">
              <w:rPr>
                <w:rFonts w:eastAsia="Times New Roman"/>
                <w:sz w:val="20"/>
                <w:szCs w:val="20"/>
                <w:lang w:val="en-GB"/>
              </w:rPr>
              <w:t>).</w:t>
            </w:r>
          </w:p>
          <w:p w14:paraId="716DE99B" w14:textId="77777777" w:rsidR="00D545DE" w:rsidRPr="00D545DE" w:rsidRDefault="00D545DE" w:rsidP="00D545DE">
            <w:pPr>
              <w:numPr>
                <w:ilvl w:val="0"/>
                <w:numId w:val="31"/>
              </w:numPr>
              <w:rPr>
                <w:rFonts w:eastAsia="Times New Roman"/>
                <w:sz w:val="20"/>
                <w:szCs w:val="20"/>
                <w:lang w:val="en-GB"/>
              </w:rPr>
            </w:pPr>
            <w:r w:rsidRPr="00D545DE">
              <w:rPr>
                <w:rFonts w:eastAsia="Times New Roman"/>
                <w:sz w:val="20"/>
                <w:szCs w:val="20"/>
                <w:lang w:val="en-GB"/>
              </w:rPr>
              <w:t>Enhancements to FDM solution, to allow more granular indication of affected frequencies (e.g. granularity of BWP or PRB level). (RAN2)</w:t>
            </w:r>
          </w:p>
          <w:p w14:paraId="20A7C6A3" w14:textId="77777777" w:rsidR="00D545DE" w:rsidRPr="00D545DE" w:rsidRDefault="00D545DE" w:rsidP="00D545DE">
            <w:pPr>
              <w:rPr>
                <w:rFonts w:eastAsia="Times New Roman"/>
                <w:sz w:val="20"/>
                <w:szCs w:val="20"/>
                <w:highlight w:val="yellow"/>
                <w:lang w:val="en-GB"/>
              </w:rPr>
            </w:pPr>
            <w:r w:rsidRPr="00D545DE">
              <w:rPr>
                <w:rFonts w:eastAsia="Times New Roman"/>
                <w:sz w:val="20"/>
                <w:szCs w:val="20"/>
                <w:highlight w:val="yellow"/>
                <w:lang w:val="en-GB"/>
              </w:rPr>
              <w:t>Note: Enhancements to FDM solution is prioritized.</w:t>
            </w:r>
          </w:p>
          <w:p w14:paraId="5F7C2145" w14:textId="77777777" w:rsidR="00D545DE" w:rsidRPr="00D545DE" w:rsidRDefault="00D545DE" w:rsidP="00D545DE">
            <w:pPr>
              <w:numPr>
                <w:ilvl w:val="0"/>
                <w:numId w:val="31"/>
              </w:numPr>
              <w:rPr>
                <w:rFonts w:eastAsia="Times New Roman"/>
                <w:sz w:val="20"/>
                <w:szCs w:val="20"/>
                <w:highlight w:val="yellow"/>
                <w:lang w:val="en-GB"/>
              </w:rPr>
            </w:pPr>
            <w:r w:rsidRPr="00D545DE">
              <w:rPr>
                <w:rFonts w:eastAsia="Times New Roman"/>
                <w:sz w:val="20"/>
                <w:szCs w:val="20"/>
                <w:highlight w:val="yellow"/>
                <w:lang w:val="en-GB"/>
              </w:rPr>
              <w:t>Introduction of TDM solution (e.g. indication of UE preferred TDM pattern for UL/DL). (RAN2, RAN4).</w:t>
            </w:r>
            <w:r w:rsidRPr="00D545DE">
              <w:rPr>
                <w:rFonts w:eastAsia="Times New Roman"/>
                <w:sz w:val="20"/>
                <w:szCs w:val="20"/>
                <w:highlight w:val="yellow"/>
                <w:lang w:val="en-GB"/>
              </w:rPr>
              <w:br/>
              <w:t>Note: The TDM solution is considered complementary to the FDM solution.</w:t>
            </w:r>
          </w:p>
          <w:p w14:paraId="38154DE7" w14:textId="77777777" w:rsidR="00D545DE" w:rsidRPr="00D545DE" w:rsidRDefault="00D545DE" w:rsidP="00D545DE">
            <w:pPr>
              <w:numPr>
                <w:ilvl w:val="0"/>
                <w:numId w:val="31"/>
              </w:numPr>
              <w:rPr>
                <w:rFonts w:eastAsia="Times New Roman"/>
                <w:sz w:val="20"/>
                <w:szCs w:val="20"/>
                <w:highlight w:val="yellow"/>
                <w:lang w:val="en-GB"/>
              </w:rPr>
            </w:pPr>
            <w:r w:rsidRPr="00D545DE">
              <w:rPr>
                <w:rFonts w:eastAsia="Times New Roman"/>
                <w:sz w:val="20"/>
                <w:szCs w:val="20"/>
                <w:highlight w:val="yellow"/>
                <w:lang w:val="en-GB"/>
              </w:rPr>
              <w:t>Specify RRM requirements for TDM solution (RAN4)</w:t>
            </w:r>
          </w:p>
          <w:p w14:paraId="245A57BC" w14:textId="77777777" w:rsidR="00D545DE" w:rsidRPr="00D545DE" w:rsidRDefault="00D545DE" w:rsidP="00D545DE">
            <w:pPr>
              <w:rPr>
                <w:rFonts w:eastAsia="Times New Roman"/>
                <w:sz w:val="20"/>
                <w:szCs w:val="20"/>
                <w:lang w:val="en-GB"/>
              </w:rPr>
            </w:pPr>
            <w:r w:rsidRPr="00D545DE">
              <w:rPr>
                <w:rFonts w:eastAsia="Times New Roman"/>
                <w:sz w:val="20"/>
                <w:szCs w:val="20"/>
                <w:highlight w:val="yellow"/>
                <w:lang w:val="en-GB"/>
              </w:rPr>
              <w:t>Note: LTE IDC solution should be considered as the baseline for the solutions developed in this WI.</w:t>
            </w:r>
          </w:p>
          <w:p w14:paraId="38E47F58" w14:textId="77777777" w:rsidR="00D545DE" w:rsidRPr="00D545DE" w:rsidRDefault="00D545DE" w:rsidP="00D545DE">
            <w:pPr>
              <w:rPr>
                <w:rFonts w:eastAsia="Times New Roman"/>
                <w:sz w:val="20"/>
                <w:szCs w:val="20"/>
                <w:lang w:val="en-GB"/>
              </w:rPr>
            </w:pPr>
          </w:p>
        </w:tc>
      </w:tr>
    </w:tbl>
    <w:p w14:paraId="6E5E5BAA" w14:textId="77777777" w:rsidR="00D545DE" w:rsidRDefault="00D545DE" w:rsidP="00D545DE"/>
    <w:p w14:paraId="4F73BF9B" w14:textId="77F51528" w:rsidR="0090633F" w:rsidRDefault="0090633F" w:rsidP="00D545DE">
      <w:r>
        <w:t>In an email discussion, RAN2 have progressed the topic</w:t>
      </w:r>
      <w:r w:rsidR="00DB2FDE">
        <w:t>:</w:t>
      </w:r>
    </w:p>
    <w:p w14:paraId="7D56C6FE" w14:textId="77777777" w:rsidR="00DB2FDE" w:rsidRPr="00D270A8" w:rsidRDefault="00DB2FDE" w:rsidP="00DB2FDE">
      <w:pPr>
        <w:pStyle w:val="EmailDiscussion"/>
        <w:tabs>
          <w:tab w:val="left" w:pos="1619"/>
        </w:tabs>
        <w:overflowPunct/>
        <w:autoSpaceDE/>
        <w:autoSpaceDN/>
        <w:adjustRightInd/>
        <w:textAlignment w:val="auto"/>
        <w:rPr>
          <w:rFonts w:ascii="Times New Roman" w:hAnsi="Times New Roman"/>
          <w:lang w:val="en-US"/>
        </w:rPr>
      </w:pPr>
      <w:r w:rsidRPr="00D270A8">
        <w:rPr>
          <w:rFonts w:ascii="Times New Roman" w:hAnsi="Times New Roman"/>
          <w:lang w:val="en-US"/>
        </w:rPr>
        <w:lastRenderedPageBreak/>
        <w:t>[Post119-e][651][IDC] Comparison of TDM solutions (Xiaomi)</w:t>
      </w:r>
    </w:p>
    <w:p w14:paraId="051CF8A3" w14:textId="77777777" w:rsidR="00DB2FDE" w:rsidRPr="00D270A8" w:rsidRDefault="00DB2FDE" w:rsidP="00DB2FDE">
      <w:pPr>
        <w:pStyle w:val="EmailDiscussion2"/>
        <w:rPr>
          <w:rFonts w:ascii="Times New Roman" w:hAnsi="Times New Roman"/>
          <w:lang w:val="en-US"/>
        </w:rPr>
      </w:pPr>
      <w:r w:rsidRPr="00D270A8">
        <w:rPr>
          <w:rFonts w:ascii="Times New Roman" w:hAnsi="Times New Roman"/>
          <w:lang w:val="en-US"/>
        </w:rPr>
        <w:t xml:space="preserve">      Scope: </w:t>
      </w:r>
      <w:proofErr w:type="spellStart"/>
      <w:r w:rsidRPr="00D270A8">
        <w:rPr>
          <w:rFonts w:ascii="Times New Roman" w:hAnsi="Times New Roman"/>
          <w:lang w:val="en-US"/>
        </w:rPr>
        <w:t>Analyse</w:t>
      </w:r>
      <w:proofErr w:type="spellEnd"/>
      <w:r w:rsidRPr="00D270A8">
        <w:rPr>
          <w:rFonts w:ascii="Times New Roman" w:hAnsi="Times New Roman"/>
          <w:lang w:val="en-US"/>
        </w:rPr>
        <w:t xml:space="preserve"> the details of following TDM candidate solutions, and compare solutions , e.g. applied scenarios (e.g. BT voice, BT </w:t>
      </w:r>
      <w:proofErr w:type="spellStart"/>
      <w:r w:rsidRPr="00D270A8">
        <w:rPr>
          <w:rFonts w:ascii="Times New Roman" w:hAnsi="Times New Roman"/>
          <w:lang w:val="en-US"/>
        </w:rPr>
        <w:t>eSCO</w:t>
      </w:r>
      <w:proofErr w:type="spellEnd"/>
      <w:r w:rsidRPr="00D270A8">
        <w:rPr>
          <w:rFonts w:ascii="Times New Roman" w:hAnsi="Times New Roman"/>
          <w:lang w:val="en-US"/>
        </w:rPr>
        <w:t xml:space="preserve"> and WLAN beacon), complexity, </w:t>
      </w:r>
      <w:proofErr w:type="spellStart"/>
      <w:r w:rsidRPr="00D270A8">
        <w:rPr>
          <w:rFonts w:ascii="Times New Roman" w:hAnsi="Times New Roman"/>
          <w:lang w:val="en-US"/>
        </w:rPr>
        <w:t>etc</w:t>
      </w:r>
      <w:proofErr w:type="spellEnd"/>
      <w:r w:rsidRPr="00D270A8">
        <w:rPr>
          <w:rFonts w:ascii="Times New Roman" w:hAnsi="Times New Roman"/>
          <w:lang w:val="en-US"/>
        </w:rPr>
        <w:t>;</w:t>
      </w:r>
    </w:p>
    <w:p w14:paraId="437B2A28" w14:textId="77777777" w:rsidR="00DB2FDE" w:rsidRPr="00D270A8" w:rsidRDefault="00DB2FDE" w:rsidP="00DB2FDE">
      <w:pPr>
        <w:pStyle w:val="Doc-text2"/>
        <w:numPr>
          <w:ilvl w:val="0"/>
          <w:numId w:val="33"/>
        </w:numPr>
        <w:tabs>
          <w:tab w:val="clear" w:pos="1622"/>
        </w:tabs>
        <w:overflowPunct/>
        <w:autoSpaceDE/>
        <w:autoSpaceDN/>
        <w:adjustRightInd/>
        <w:textAlignment w:val="auto"/>
        <w:rPr>
          <w:rFonts w:ascii="Times New Roman" w:hAnsi="Times New Roman"/>
          <w:lang w:val="en-US"/>
        </w:rPr>
      </w:pPr>
      <w:r w:rsidRPr="00D270A8">
        <w:rPr>
          <w:rFonts w:ascii="Times New Roman" w:hAnsi="Times New Roman"/>
          <w:lang w:val="en-US"/>
        </w:rPr>
        <w:t>DRX solution;</w:t>
      </w:r>
    </w:p>
    <w:p w14:paraId="670D090F" w14:textId="77777777" w:rsidR="00DB2FDE" w:rsidRPr="00D270A8" w:rsidRDefault="00DB2FDE" w:rsidP="00DB2FDE">
      <w:pPr>
        <w:pStyle w:val="Doc-text2"/>
        <w:numPr>
          <w:ilvl w:val="0"/>
          <w:numId w:val="33"/>
        </w:numPr>
        <w:tabs>
          <w:tab w:val="clear" w:pos="1622"/>
        </w:tabs>
        <w:overflowPunct/>
        <w:autoSpaceDE/>
        <w:autoSpaceDN/>
        <w:adjustRightInd/>
        <w:textAlignment w:val="auto"/>
        <w:rPr>
          <w:rFonts w:ascii="Times New Roman" w:hAnsi="Times New Roman"/>
          <w:lang w:val="en-US"/>
        </w:rPr>
      </w:pPr>
      <w:r w:rsidRPr="00D270A8">
        <w:rPr>
          <w:rFonts w:ascii="Times New Roman" w:hAnsi="Times New Roman"/>
          <w:lang w:val="en-US"/>
        </w:rPr>
        <w:t>MUSIM gap like solution;</w:t>
      </w:r>
    </w:p>
    <w:p w14:paraId="7A217E0E" w14:textId="77777777" w:rsidR="00DB2FDE" w:rsidRPr="00D270A8" w:rsidRDefault="00DB2FDE" w:rsidP="00DB2FDE">
      <w:pPr>
        <w:pStyle w:val="Doc-text2"/>
        <w:numPr>
          <w:ilvl w:val="0"/>
          <w:numId w:val="33"/>
        </w:numPr>
        <w:tabs>
          <w:tab w:val="clear" w:pos="1622"/>
        </w:tabs>
        <w:overflowPunct/>
        <w:autoSpaceDE/>
        <w:autoSpaceDN/>
        <w:adjustRightInd/>
        <w:textAlignment w:val="auto"/>
        <w:rPr>
          <w:rFonts w:ascii="Times New Roman" w:hAnsi="Times New Roman"/>
          <w:lang w:val="en-US"/>
        </w:rPr>
      </w:pPr>
      <w:r w:rsidRPr="00D270A8">
        <w:rPr>
          <w:rFonts w:ascii="Times New Roman" w:hAnsi="Times New Roman"/>
          <w:lang w:val="en-US"/>
        </w:rPr>
        <w:t>UL and/or DL transmission occasion(s);</w:t>
      </w:r>
    </w:p>
    <w:p w14:paraId="71EDD7B8" w14:textId="77777777" w:rsidR="00DB2FDE" w:rsidRPr="00D270A8" w:rsidRDefault="00DB2FDE" w:rsidP="00DB2FDE">
      <w:pPr>
        <w:pStyle w:val="Doc-text2"/>
        <w:numPr>
          <w:ilvl w:val="0"/>
          <w:numId w:val="33"/>
        </w:numPr>
        <w:tabs>
          <w:tab w:val="clear" w:pos="1622"/>
        </w:tabs>
        <w:overflowPunct/>
        <w:autoSpaceDE/>
        <w:autoSpaceDN/>
        <w:adjustRightInd/>
        <w:textAlignment w:val="auto"/>
        <w:rPr>
          <w:rFonts w:ascii="Times New Roman" w:hAnsi="Times New Roman"/>
          <w:lang w:val="en-US"/>
        </w:rPr>
      </w:pPr>
      <w:r w:rsidRPr="00D270A8">
        <w:rPr>
          <w:rFonts w:ascii="Times New Roman" w:hAnsi="Times New Roman"/>
          <w:lang w:val="en-US"/>
        </w:rPr>
        <w:t>Autonomous denial solution;</w:t>
      </w:r>
    </w:p>
    <w:p w14:paraId="4C7998C4" w14:textId="77777777" w:rsidR="00DB2FDE" w:rsidRPr="00D270A8" w:rsidRDefault="00DB2FDE" w:rsidP="00DB2FDE">
      <w:pPr>
        <w:pStyle w:val="EmailDiscussion2"/>
        <w:ind w:firstLine="0"/>
        <w:rPr>
          <w:rFonts w:ascii="Times New Roman" w:hAnsi="Times New Roman"/>
          <w:lang w:val="en-US"/>
        </w:rPr>
      </w:pPr>
      <w:r w:rsidRPr="00D270A8">
        <w:rPr>
          <w:rFonts w:ascii="Times New Roman" w:hAnsi="Times New Roman"/>
          <w:lang w:val="en-US"/>
        </w:rPr>
        <w:t>Intended outcome: Report to RAN2#120</w:t>
      </w:r>
    </w:p>
    <w:p w14:paraId="6FE678D5" w14:textId="77777777" w:rsidR="00DB2FDE" w:rsidRPr="00D270A8" w:rsidRDefault="00DB2FDE" w:rsidP="00DB2FDE">
      <w:pPr>
        <w:pStyle w:val="EmailDiscussion2"/>
        <w:ind w:firstLine="0"/>
        <w:rPr>
          <w:rFonts w:ascii="Times New Roman" w:hAnsi="Times New Roman"/>
          <w:lang w:val="en-US"/>
        </w:rPr>
      </w:pPr>
      <w:r w:rsidRPr="00D270A8">
        <w:rPr>
          <w:rFonts w:ascii="Times New Roman" w:hAnsi="Times New Roman"/>
          <w:lang w:val="en-US"/>
        </w:rPr>
        <w:t>Deadline:  Nov 3</w:t>
      </w:r>
      <w:r w:rsidRPr="00D270A8">
        <w:rPr>
          <w:rFonts w:ascii="Times New Roman" w:hAnsi="Times New Roman"/>
          <w:vertAlign w:val="superscript"/>
          <w:lang w:val="en-US"/>
        </w:rPr>
        <w:t>rd</w:t>
      </w:r>
      <w:r w:rsidRPr="00D270A8">
        <w:rPr>
          <w:rFonts w:ascii="Times New Roman" w:hAnsi="Times New Roman"/>
          <w:lang w:val="en-US"/>
        </w:rPr>
        <w:t xml:space="preserve"> (Rapporteur may introduce intermediate deadlines, but no deadline during an inactive period, and no deadline in the period from </w:t>
      </w:r>
      <w:proofErr w:type="spellStart"/>
      <w:r w:rsidRPr="00D270A8">
        <w:rPr>
          <w:rFonts w:ascii="Times New Roman" w:hAnsi="Times New Roman"/>
          <w:lang w:val="en-US"/>
        </w:rPr>
        <w:t>Submisssion</w:t>
      </w:r>
      <w:proofErr w:type="spellEnd"/>
      <w:r w:rsidRPr="00D270A8">
        <w:rPr>
          <w:rFonts w:ascii="Times New Roman" w:hAnsi="Times New Roman"/>
          <w:lang w:val="en-US"/>
        </w:rPr>
        <w:t xml:space="preserve"> deadline to EOM of R2-119bis).</w:t>
      </w:r>
    </w:p>
    <w:p w14:paraId="0CB7AC39" w14:textId="77777777" w:rsidR="00DB2FDE" w:rsidRPr="00D270A8" w:rsidRDefault="00DB2FDE" w:rsidP="00D545DE">
      <w:pPr>
        <w:rPr>
          <w:lang w:val="en-US"/>
        </w:rPr>
      </w:pPr>
    </w:p>
    <w:p w14:paraId="7C858AD2" w14:textId="1D79A1E1" w:rsidR="003267B7" w:rsidRPr="00D270A8" w:rsidRDefault="006A46E8" w:rsidP="003267B7">
      <w:r w:rsidRPr="00D270A8">
        <w:t xml:space="preserve">In this contribution we look at IDC TDM solutions for NR </w:t>
      </w:r>
      <w:r w:rsidR="00D545DE" w:rsidRPr="00D270A8">
        <w:t xml:space="preserve">given the discussion held so far </w:t>
      </w:r>
      <w:r w:rsidRPr="00D270A8">
        <w:t xml:space="preserve">and </w:t>
      </w:r>
      <w:r w:rsidR="00D545DE" w:rsidRPr="00D270A8">
        <w:t xml:space="preserve">provide </w:t>
      </w:r>
      <w:r w:rsidRPr="00D270A8">
        <w:t>general considerations that can be made</w:t>
      </w:r>
      <w:r w:rsidR="009D484E" w:rsidRPr="00D270A8">
        <w:t>.</w:t>
      </w:r>
    </w:p>
    <w:p w14:paraId="4099B8AE" w14:textId="1D1D0F83" w:rsidR="00B25721" w:rsidRDefault="004000E8" w:rsidP="00264C9F">
      <w:pPr>
        <w:pStyle w:val="Heading1"/>
        <w:numPr>
          <w:ilvl w:val="0"/>
          <w:numId w:val="30"/>
        </w:numPr>
      </w:pPr>
      <w:bookmarkStart w:id="0" w:name="_Ref178064866"/>
      <w:r w:rsidRPr="00CE0424">
        <w:t>Discussion</w:t>
      </w:r>
      <w:bookmarkEnd w:id="0"/>
    </w:p>
    <w:p w14:paraId="3447E9D1" w14:textId="18AD1047" w:rsidR="00904D3C" w:rsidRPr="00D270A8" w:rsidRDefault="00866E49" w:rsidP="00866E49">
      <w:pPr>
        <w:rPr>
          <w:bCs/>
        </w:rPr>
      </w:pPr>
      <w:r w:rsidRPr="00D270A8">
        <w:t xml:space="preserve">In current discussion, the following </w:t>
      </w:r>
      <w:r w:rsidR="00490DFD">
        <w:t xml:space="preserve">candidate </w:t>
      </w:r>
      <w:r w:rsidRPr="00D270A8">
        <w:t xml:space="preserve">solutions are present for </w:t>
      </w:r>
      <w:r w:rsidR="00FA3F27" w:rsidRPr="00D270A8">
        <w:t>resolving the WI goals</w:t>
      </w:r>
      <w:r w:rsidR="00D94AD4" w:rsidRPr="00D270A8">
        <w:t>. In general, a solution</w:t>
      </w:r>
      <w:r w:rsidR="00D52324" w:rsidRPr="00D270A8">
        <w:t xml:space="preserve"> in simple terms, aims at </w:t>
      </w:r>
      <w:r w:rsidR="00F761B2" w:rsidRPr="00D270A8">
        <w:rPr>
          <w:bCs/>
        </w:rPr>
        <w:t>indicating</w:t>
      </w:r>
      <w:r w:rsidR="00D52324" w:rsidRPr="00D270A8">
        <w:rPr>
          <w:bCs/>
        </w:rPr>
        <w:t xml:space="preserve"> to the NW a time pattern which can help network to schedule outside of </w:t>
      </w:r>
      <w:r w:rsidR="00BB732E" w:rsidRPr="00D270A8">
        <w:rPr>
          <w:bCs/>
        </w:rPr>
        <w:t xml:space="preserve">colliding time instances on affected frequencies. </w:t>
      </w:r>
    </w:p>
    <w:p w14:paraId="1B18AFCD" w14:textId="684AD6F4" w:rsidR="00264C9F" w:rsidRPr="00D270A8" w:rsidRDefault="00BB732E" w:rsidP="00866E49">
      <w:r w:rsidRPr="00D270A8">
        <w:rPr>
          <w:bCs/>
        </w:rPr>
        <w:t xml:space="preserve">The current alternatives </w:t>
      </w:r>
      <w:r w:rsidR="006F6BB6">
        <w:rPr>
          <w:bCs/>
        </w:rPr>
        <w:t xml:space="preserve">that </w:t>
      </w:r>
      <w:r w:rsidR="00904D3C" w:rsidRPr="00D270A8">
        <w:rPr>
          <w:bCs/>
        </w:rPr>
        <w:t xml:space="preserve">are </w:t>
      </w:r>
      <w:r w:rsidRPr="00D270A8">
        <w:rPr>
          <w:bCs/>
        </w:rPr>
        <w:t>considered:</w:t>
      </w:r>
    </w:p>
    <w:p w14:paraId="34929D5F" w14:textId="791441EF" w:rsidR="00A02AFB" w:rsidRPr="00D270A8" w:rsidRDefault="00BB732E" w:rsidP="002949C1">
      <w:pPr>
        <w:pStyle w:val="ListParagraph"/>
        <w:numPr>
          <w:ilvl w:val="0"/>
          <w:numId w:val="37"/>
        </w:numPr>
        <w:ind w:left="0" w:firstLine="0"/>
        <w:rPr>
          <w:rFonts w:ascii="Times New Roman" w:hAnsi="Times New Roman"/>
          <w:sz w:val="20"/>
          <w:szCs w:val="20"/>
        </w:rPr>
      </w:pPr>
      <w:r w:rsidRPr="00D270A8">
        <w:rPr>
          <w:rFonts w:ascii="Times New Roman" w:hAnsi="Times New Roman"/>
          <w:sz w:val="20"/>
          <w:szCs w:val="20"/>
        </w:rPr>
        <w:t>P</w:t>
      </w:r>
      <w:r w:rsidR="00817DB2" w:rsidRPr="00D270A8">
        <w:rPr>
          <w:rFonts w:ascii="Times New Roman" w:hAnsi="Times New Roman"/>
          <w:sz w:val="20"/>
          <w:szCs w:val="20"/>
          <w:lang w:val="en-GB" w:eastAsia="ja-JP"/>
        </w:rPr>
        <w:t>referred DRX configuration reported by the UE</w:t>
      </w:r>
      <w:r w:rsidR="0091000D" w:rsidRPr="00D270A8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91000D" w:rsidRPr="00D270A8">
        <w:rPr>
          <w:rFonts w:ascii="Times New Roman" w:hAnsi="Times New Roman"/>
          <w:sz w:val="20"/>
          <w:szCs w:val="20"/>
        </w:rPr>
        <w:t>i.e</w:t>
      </w:r>
      <w:proofErr w:type="spellEnd"/>
      <w:r w:rsidR="0091000D" w:rsidRPr="00D270A8">
        <w:rPr>
          <w:rFonts w:ascii="Times New Roman" w:hAnsi="Times New Roman"/>
          <w:sz w:val="20"/>
          <w:szCs w:val="20"/>
        </w:rPr>
        <w:t xml:space="preserve"> for the affected frequencies</w:t>
      </w:r>
      <w:r w:rsidR="00AA2B47" w:rsidRPr="00D270A8">
        <w:rPr>
          <w:rFonts w:ascii="Times New Roman" w:hAnsi="Times New Roman"/>
          <w:sz w:val="20"/>
          <w:szCs w:val="20"/>
        </w:rPr>
        <w:t xml:space="preserve"> the NW </w:t>
      </w:r>
      <w:r w:rsidRPr="00D270A8">
        <w:rPr>
          <w:rFonts w:ascii="Times New Roman" w:hAnsi="Times New Roman"/>
          <w:sz w:val="20"/>
          <w:szCs w:val="20"/>
        </w:rPr>
        <w:t xml:space="preserve">can </w:t>
      </w:r>
      <w:r w:rsidR="00AA2B47" w:rsidRPr="00D270A8">
        <w:rPr>
          <w:rFonts w:ascii="Times New Roman" w:hAnsi="Times New Roman"/>
          <w:sz w:val="20"/>
          <w:szCs w:val="20"/>
        </w:rPr>
        <w:t xml:space="preserve">schedule </w:t>
      </w:r>
      <w:r w:rsidRPr="00D270A8">
        <w:rPr>
          <w:rFonts w:ascii="Times New Roman" w:hAnsi="Times New Roman"/>
          <w:sz w:val="20"/>
          <w:szCs w:val="20"/>
        </w:rPr>
        <w:t>inside</w:t>
      </w:r>
      <w:r w:rsidR="00AA2B47" w:rsidRPr="00D270A8">
        <w:rPr>
          <w:rFonts w:ascii="Times New Roman" w:hAnsi="Times New Roman"/>
          <w:sz w:val="20"/>
          <w:szCs w:val="20"/>
        </w:rPr>
        <w:t xml:space="preserve"> active time preferred by the UE for the </w:t>
      </w:r>
      <w:r w:rsidRPr="00D270A8">
        <w:rPr>
          <w:rFonts w:ascii="Times New Roman" w:hAnsi="Times New Roman"/>
          <w:sz w:val="20"/>
          <w:szCs w:val="20"/>
        </w:rPr>
        <w:t xml:space="preserve">IDC </w:t>
      </w:r>
      <w:r w:rsidR="00AA2B47" w:rsidRPr="00D270A8">
        <w:rPr>
          <w:rFonts w:ascii="Times New Roman" w:hAnsi="Times New Roman"/>
          <w:sz w:val="20"/>
          <w:szCs w:val="20"/>
        </w:rPr>
        <w:t>affected frequencies</w:t>
      </w:r>
      <w:r w:rsidRPr="00D270A8">
        <w:rPr>
          <w:rFonts w:ascii="Times New Roman" w:hAnsi="Times New Roman"/>
          <w:sz w:val="20"/>
          <w:szCs w:val="20"/>
        </w:rPr>
        <w:t>.</w:t>
      </w:r>
    </w:p>
    <w:p w14:paraId="33358CA5" w14:textId="62D0A0D4" w:rsidR="00A20779" w:rsidRPr="00D270A8" w:rsidRDefault="00866E49" w:rsidP="002949C1">
      <w:pPr>
        <w:pStyle w:val="ListParagraph"/>
        <w:numPr>
          <w:ilvl w:val="0"/>
          <w:numId w:val="37"/>
        </w:numPr>
        <w:ind w:left="0" w:firstLine="0"/>
        <w:rPr>
          <w:rFonts w:ascii="Times New Roman" w:hAnsi="Times New Roman"/>
          <w:sz w:val="20"/>
          <w:szCs w:val="20"/>
          <w:lang w:val="en-GB" w:eastAsia="ja-JP"/>
        </w:rPr>
      </w:pPr>
      <w:r w:rsidRPr="00D270A8">
        <w:rPr>
          <w:rFonts w:ascii="Times New Roman" w:hAnsi="Times New Roman"/>
          <w:sz w:val="20"/>
          <w:szCs w:val="20"/>
          <w:lang w:val="en-GB" w:eastAsia="ja-JP"/>
        </w:rPr>
        <w:t>MUSIM gap like solution</w:t>
      </w:r>
      <w:r w:rsidR="00A20779" w:rsidRPr="00D270A8">
        <w:rPr>
          <w:rFonts w:ascii="Times New Roman" w:hAnsi="Times New Roman"/>
          <w:sz w:val="20"/>
          <w:szCs w:val="20"/>
        </w:rPr>
        <w:t xml:space="preserve">, in providing </w:t>
      </w:r>
      <w:r w:rsidR="006B1FA9" w:rsidRPr="00D270A8">
        <w:rPr>
          <w:rFonts w:ascii="Times New Roman" w:hAnsi="Times New Roman"/>
          <w:sz w:val="20"/>
          <w:szCs w:val="20"/>
        </w:rPr>
        <w:t>preferred gap</w:t>
      </w:r>
      <w:r w:rsidR="0091000D" w:rsidRPr="00D270A8">
        <w:rPr>
          <w:rFonts w:ascii="Times New Roman" w:hAnsi="Times New Roman"/>
          <w:sz w:val="20"/>
          <w:szCs w:val="20"/>
        </w:rPr>
        <w:t xml:space="preserve">, </w:t>
      </w:r>
      <w:r w:rsidR="00BB732E" w:rsidRPr="00D270A8">
        <w:rPr>
          <w:rFonts w:ascii="Times New Roman" w:hAnsi="Times New Roman"/>
          <w:sz w:val="20"/>
          <w:szCs w:val="20"/>
        </w:rPr>
        <w:t>(</w:t>
      </w:r>
      <w:r w:rsidR="0091000D" w:rsidRPr="00D270A8">
        <w:rPr>
          <w:rFonts w:ascii="Times New Roman" w:hAnsi="Times New Roman"/>
          <w:sz w:val="20"/>
          <w:szCs w:val="20"/>
        </w:rPr>
        <w:t>e.g.</w:t>
      </w:r>
      <w:r w:rsidR="00A20779" w:rsidRPr="00D270A8">
        <w:rPr>
          <w:rFonts w:ascii="Times New Roman" w:hAnsi="Times New Roman"/>
          <w:sz w:val="20"/>
          <w:szCs w:val="20"/>
        </w:rPr>
        <w:t xml:space="preserve"> cycle, period</w:t>
      </w:r>
      <w:r w:rsidR="00BB732E" w:rsidRPr="00D270A8">
        <w:rPr>
          <w:rFonts w:ascii="Times New Roman" w:hAnsi="Times New Roman"/>
          <w:sz w:val="20"/>
          <w:szCs w:val="20"/>
        </w:rPr>
        <w:t xml:space="preserve"> </w:t>
      </w:r>
      <w:r w:rsidR="00A20779" w:rsidRPr="00D270A8">
        <w:rPr>
          <w:rFonts w:ascii="Times New Roman" w:hAnsi="Times New Roman"/>
          <w:sz w:val="20"/>
          <w:szCs w:val="20"/>
        </w:rPr>
        <w:t>and length</w:t>
      </w:r>
      <w:r w:rsidR="00BB732E" w:rsidRPr="00D270A8">
        <w:rPr>
          <w:rFonts w:ascii="Times New Roman" w:hAnsi="Times New Roman"/>
          <w:sz w:val="20"/>
          <w:szCs w:val="20"/>
        </w:rPr>
        <w:t>)</w:t>
      </w:r>
      <w:r w:rsidR="00A20779" w:rsidRPr="00D270A8">
        <w:rPr>
          <w:rFonts w:ascii="Times New Roman" w:hAnsi="Times New Roman"/>
          <w:sz w:val="20"/>
          <w:szCs w:val="20"/>
        </w:rPr>
        <w:t xml:space="preserve"> </w:t>
      </w:r>
      <w:r w:rsidR="0091000D" w:rsidRPr="00D270A8">
        <w:rPr>
          <w:rFonts w:ascii="Times New Roman" w:hAnsi="Times New Roman"/>
          <w:sz w:val="20"/>
          <w:szCs w:val="20"/>
        </w:rPr>
        <w:t>for affected frequencies.</w:t>
      </w:r>
    </w:p>
    <w:p w14:paraId="14EF4549" w14:textId="4190FDB7" w:rsidR="00866E49" w:rsidRPr="00D270A8" w:rsidRDefault="00866E49" w:rsidP="002949C1">
      <w:pPr>
        <w:pStyle w:val="ListParagraph"/>
        <w:numPr>
          <w:ilvl w:val="0"/>
          <w:numId w:val="37"/>
        </w:numPr>
        <w:ind w:left="0" w:firstLine="0"/>
        <w:rPr>
          <w:rFonts w:ascii="Times New Roman" w:hAnsi="Times New Roman"/>
          <w:sz w:val="20"/>
          <w:szCs w:val="20"/>
        </w:rPr>
      </w:pPr>
      <w:r w:rsidRPr="00D270A8">
        <w:rPr>
          <w:rFonts w:ascii="Times New Roman" w:hAnsi="Times New Roman"/>
          <w:sz w:val="20"/>
          <w:szCs w:val="20"/>
        </w:rPr>
        <w:t>UL and/or DL transmission occasion(s)</w:t>
      </w:r>
      <w:r w:rsidR="00FA6726" w:rsidRPr="00D270A8">
        <w:rPr>
          <w:rFonts w:ascii="Times New Roman" w:hAnsi="Times New Roman"/>
          <w:sz w:val="20"/>
          <w:szCs w:val="20"/>
        </w:rPr>
        <w:t>, in</w:t>
      </w:r>
      <w:r w:rsidR="006C2BC8" w:rsidRPr="00D270A8">
        <w:rPr>
          <w:rFonts w:ascii="Times New Roman" w:hAnsi="Times New Roman"/>
          <w:sz w:val="20"/>
          <w:szCs w:val="20"/>
        </w:rPr>
        <w:t xml:space="preserve"> providing a preferred UL/DL sub-frame allocation </w:t>
      </w:r>
      <w:r w:rsidR="009317F3" w:rsidRPr="00D270A8">
        <w:rPr>
          <w:rFonts w:ascii="Times New Roman" w:hAnsi="Times New Roman"/>
          <w:sz w:val="20"/>
          <w:szCs w:val="20"/>
        </w:rPr>
        <w:t>for NW scheduling</w:t>
      </w:r>
      <w:r w:rsidR="00602C01" w:rsidRPr="00D270A8">
        <w:rPr>
          <w:rFonts w:ascii="Times New Roman" w:hAnsi="Times New Roman"/>
          <w:sz w:val="20"/>
          <w:szCs w:val="20"/>
        </w:rPr>
        <w:t>.</w:t>
      </w:r>
    </w:p>
    <w:p w14:paraId="3A41BF30" w14:textId="15C400C1" w:rsidR="00866E49" w:rsidRPr="00D270A8" w:rsidRDefault="00866E49" w:rsidP="002949C1">
      <w:pPr>
        <w:pStyle w:val="ListParagraph"/>
        <w:numPr>
          <w:ilvl w:val="0"/>
          <w:numId w:val="37"/>
        </w:numPr>
        <w:ind w:left="0" w:firstLine="0"/>
        <w:rPr>
          <w:rFonts w:ascii="Times New Roman" w:hAnsi="Times New Roman"/>
          <w:sz w:val="20"/>
          <w:szCs w:val="20"/>
          <w:lang w:val="en-GB" w:eastAsia="ja-JP"/>
        </w:rPr>
      </w:pPr>
      <w:r w:rsidRPr="00D270A8">
        <w:rPr>
          <w:rFonts w:ascii="Times New Roman" w:hAnsi="Times New Roman"/>
          <w:sz w:val="20"/>
          <w:szCs w:val="20"/>
          <w:lang w:val="en-GB" w:eastAsia="ja-JP"/>
        </w:rPr>
        <w:t>Autonomous denial solution</w:t>
      </w:r>
      <w:r w:rsidR="009317F3" w:rsidRPr="00D270A8">
        <w:rPr>
          <w:rFonts w:ascii="Times New Roman" w:hAnsi="Times New Roman"/>
          <w:sz w:val="20"/>
          <w:szCs w:val="20"/>
        </w:rPr>
        <w:t xml:space="preserve">, in </w:t>
      </w:r>
      <w:r w:rsidR="00602C01" w:rsidRPr="00D270A8">
        <w:rPr>
          <w:rFonts w:ascii="Times New Roman" w:hAnsi="Times New Roman"/>
          <w:sz w:val="20"/>
          <w:szCs w:val="20"/>
        </w:rPr>
        <w:t xml:space="preserve">where </w:t>
      </w:r>
      <w:r w:rsidR="00540725" w:rsidRPr="00D270A8">
        <w:rPr>
          <w:rFonts w:ascii="Times New Roman" w:hAnsi="Times New Roman"/>
          <w:sz w:val="20"/>
          <w:szCs w:val="20"/>
        </w:rPr>
        <w:t xml:space="preserve">the UE indicates </w:t>
      </w:r>
      <w:r w:rsidR="00D93235" w:rsidRPr="00D270A8">
        <w:rPr>
          <w:rFonts w:ascii="Times New Roman" w:hAnsi="Times New Roman"/>
          <w:sz w:val="20"/>
          <w:szCs w:val="20"/>
        </w:rPr>
        <w:t>not to expect</w:t>
      </w:r>
      <w:r w:rsidR="00540725" w:rsidRPr="00D270A8">
        <w:rPr>
          <w:rFonts w:ascii="Times New Roman" w:hAnsi="Times New Roman"/>
          <w:sz w:val="20"/>
          <w:szCs w:val="20"/>
        </w:rPr>
        <w:t xml:space="preserve"> </w:t>
      </w:r>
      <w:r w:rsidR="00AF5A65" w:rsidRPr="00D270A8">
        <w:rPr>
          <w:rFonts w:ascii="Times New Roman" w:hAnsi="Times New Roman"/>
          <w:sz w:val="20"/>
          <w:szCs w:val="20"/>
          <w:lang w:val="en-US"/>
        </w:rPr>
        <w:t xml:space="preserve">UL </w:t>
      </w:r>
      <w:r w:rsidR="00540725" w:rsidRPr="00D270A8">
        <w:rPr>
          <w:rFonts w:ascii="Times New Roman" w:hAnsi="Times New Roman"/>
          <w:sz w:val="20"/>
          <w:szCs w:val="20"/>
        </w:rPr>
        <w:t>transmission</w:t>
      </w:r>
      <w:r w:rsidR="00D93235" w:rsidRPr="00D270A8">
        <w:rPr>
          <w:rFonts w:ascii="Times New Roman" w:hAnsi="Times New Roman"/>
          <w:sz w:val="20"/>
          <w:szCs w:val="20"/>
        </w:rPr>
        <w:t>s</w:t>
      </w:r>
      <w:r w:rsidR="00540725" w:rsidRPr="00D270A8">
        <w:rPr>
          <w:rFonts w:ascii="Times New Roman" w:hAnsi="Times New Roman"/>
          <w:sz w:val="20"/>
          <w:szCs w:val="20"/>
        </w:rPr>
        <w:t xml:space="preserve"> in a particular subframe during </w:t>
      </w:r>
      <w:r w:rsidR="00904D3C" w:rsidRPr="00D270A8">
        <w:rPr>
          <w:rFonts w:ascii="Times New Roman" w:hAnsi="Times New Roman"/>
          <w:sz w:val="20"/>
          <w:szCs w:val="20"/>
        </w:rPr>
        <w:t>a few</w:t>
      </w:r>
      <w:r w:rsidR="00540725" w:rsidRPr="00D270A8">
        <w:rPr>
          <w:rFonts w:ascii="Times New Roman" w:hAnsi="Times New Roman"/>
          <w:sz w:val="20"/>
          <w:szCs w:val="20"/>
        </w:rPr>
        <w:t xml:space="preserve"> subframes</w:t>
      </w:r>
      <w:r w:rsidR="00D93235" w:rsidRPr="00D270A8">
        <w:rPr>
          <w:rFonts w:ascii="Times New Roman" w:hAnsi="Times New Roman"/>
          <w:sz w:val="20"/>
          <w:szCs w:val="20"/>
        </w:rPr>
        <w:t>.</w:t>
      </w:r>
    </w:p>
    <w:p w14:paraId="5F8FEBEC" w14:textId="77777777" w:rsidR="00866E49" w:rsidRPr="00D270A8" w:rsidRDefault="00866E49" w:rsidP="002949C1"/>
    <w:p w14:paraId="025575B0" w14:textId="120AB1E8" w:rsidR="00A971D7" w:rsidRDefault="005034D5" w:rsidP="002949C1">
      <w:r w:rsidRPr="00D270A8">
        <w:t>As can be seen form the initial discussion,</w:t>
      </w:r>
      <w:r w:rsidR="002A76BD" w:rsidRPr="00D270A8">
        <w:t xml:space="preserve"> the most prominent solutions that may be </w:t>
      </w:r>
      <w:r w:rsidR="005B1CFA" w:rsidRPr="00D270A8">
        <w:t>relevant</w:t>
      </w:r>
      <w:r w:rsidR="002A76BD" w:rsidRPr="00D270A8">
        <w:t xml:space="preserve"> to specify are</w:t>
      </w:r>
      <w:r w:rsidR="00A971D7" w:rsidRPr="00D270A8">
        <w:t xml:space="preserve"> 1 or 2, with 4 as an addition for handling </w:t>
      </w:r>
      <w:r w:rsidR="005E0E67" w:rsidRPr="00D270A8">
        <w:t xml:space="preserve">e.g. </w:t>
      </w:r>
      <w:r w:rsidR="005E0E67" w:rsidRPr="00D270A8">
        <w:rPr>
          <w:rFonts w:eastAsia="MS Mincho"/>
          <w:bCs/>
        </w:rPr>
        <w:t>aperiodic gaps</w:t>
      </w:r>
      <w:r w:rsidR="00A971D7" w:rsidRPr="00D270A8">
        <w:t xml:space="preserve">. </w:t>
      </w:r>
      <w:r w:rsidR="00FE026E">
        <w:t>In the below the focus is hence on solutions 1,2 and 4.</w:t>
      </w:r>
    </w:p>
    <w:p w14:paraId="79E56C80" w14:textId="7D1B653C" w:rsidR="00693DC2" w:rsidRPr="00693DC2" w:rsidRDefault="00207AAE" w:rsidP="00693DC2">
      <w:pPr>
        <w:rPr>
          <w:bCs/>
        </w:rPr>
      </w:pPr>
      <w:r>
        <w:t>For 2, a MUSIM based solution, it is argued that</w:t>
      </w:r>
      <w:r w:rsidR="00693DC2">
        <w:t xml:space="preserve"> the framework for this is, </w:t>
      </w:r>
      <w:r w:rsidR="00156C69">
        <w:t>like</w:t>
      </w:r>
      <w:r w:rsidR="00693DC2">
        <w:t xml:space="preserve"> DRX</w:t>
      </w:r>
      <w:r w:rsidR="00156C69">
        <w:t xml:space="preserve"> is</w:t>
      </w:r>
      <w:r w:rsidR="00693DC2">
        <w:t xml:space="preserve"> already in place. However, t</w:t>
      </w:r>
      <w:r w:rsidR="00693DC2" w:rsidRPr="00693DC2">
        <w:rPr>
          <w:bCs/>
        </w:rPr>
        <w:t>he MUSIM-gap solution requires evaluat</w:t>
      </w:r>
      <w:r w:rsidR="00693DC2">
        <w:rPr>
          <w:bCs/>
        </w:rPr>
        <w:t xml:space="preserve">ion </w:t>
      </w:r>
      <w:r w:rsidR="0001716B" w:rsidRPr="00693DC2">
        <w:rPr>
          <w:bCs/>
        </w:rPr>
        <w:t>as they have now been defined for another use case</w:t>
      </w:r>
      <w:r w:rsidR="0001716B">
        <w:rPr>
          <w:bCs/>
        </w:rPr>
        <w:t xml:space="preserve">. For instance, </w:t>
      </w:r>
      <w:r w:rsidR="00693DC2" w:rsidRPr="00693DC2">
        <w:rPr>
          <w:bCs/>
        </w:rPr>
        <w:t>required gap-</w:t>
      </w:r>
      <w:r w:rsidR="0001716B" w:rsidRPr="00693DC2">
        <w:rPr>
          <w:bCs/>
        </w:rPr>
        <w:t>lengths</w:t>
      </w:r>
      <w:r w:rsidR="00156C69">
        <w:rPr>
          <w:bCs/>
        </w:rPr>
        <w:t>,</w:t>
      </w:r>
      <w:r w:rsidR="00693DC2" w:rsidRPr="00693DC2">
        <w:rPr>
          <w:bCs/>
        </w:rPr>
        <w:t xml:space="preserve"> periodicities</w:t>
      </w:r>
      <w:r w:rsidR="00693DC2">
        <w:rPr>
          <w:bCs/>
        </w:rPr>
        <w:t xml:space="preserve">, </w:t>
      </w:r>
      <w:r w:rsidR="0001716B">
        <w:rPr>
          <w:bCs/>
        </w:rPr>
        <w:t>use</w:t>
      </w:r>
      <w:r w:rsidR="009532EE">
        <w:rPr>
          <w:bCs/>
        </w:rPr>
        <w:t xml:space="preserve">fulness and use of </w:t>
      </w:r>
      <w:r w:rsidR="005552B4" w:rsidRPr="005552B4">
        <w:rPr>
          <w:bCs/>
          <w:lang w:val="x-none"/>
        </w:rPr>
        <w:t xml:space="preserve">aperiodic </w:t>
      </w:r>
      <w:r w:rsidR="00B61A37" w:rsidRPr="005552B4">
        <w:rPr>
          <w:bCs/>
          <w:lang w:val="x-none"/>
        </w:rPr>
        <w:t>gap</w:t>
      </w:r>
      <w:r w:rsidR="00B61A37" w:rsidRPr="005552B4">
        <w:rPr>
          <w:bCs/>
          <w:lang w:val="en-US"/>
        </w:rPr>
        <w:t>s,</w:t>
      </w:r>
      <w:r w:rsidR="00B61A37">
        <w:rPr>
          <w:bCs/>
          <w:lang w:val="en-US"/>
        </w:rPr>
        <w:t xml:space="preserve"> </w:t>
      </w:r>
      <w:r w:rsidR="00495229">
        <w:rPr>
          <w:bCs/>
          <w:lang w:val="en-US"/>
        </w:rPr>
        <w:t xml:space="preserve">and </w:t>
      </w:r>
      <w:r w:rsidR="00B61A37" w:rsidRPr="005552B4">
        <w:rPr>
          <w:bCs/>
        </w:rPr>
        <w:t>the</w:t>
      </w:r>
      <w:r w:rsidR="009532EE">
        <w:rPr>
          <w:bCs/>
        </w:rPr>
        <w:t xml:space="preserve"> </w:t>
      </w:r>
      <w:r w:rsidR="00A75EB2">
        <w:rPr>
          <w:bCs/>
        </w:rPr>
        <w:t xml:space="preserve">applicability of </w:t>
      </w:r>
      <w:r w:rsidR="00A75EB2" w:rsidRPr="00162B60">
        <w:rPr>
          <w:bCs/>
        </w:rPr>
        <w:t xml:space="preserve">prohibit timer </w:t>
      </w:r>
      <w:r w:rsidR="00693DC2">
        <w:rPr>
          <w:bCs/>
        </w:rPr>
        <w:t xml:space="preserve">and </w:t>
      </w:r>
      <w:r w:rsidR="009532EE">
        <w:rPr>
          <w:bCs/>
        </w:rPr>
        <w:t>the</w:t>
      </w:r>
      <w:r w:rsidR="00693DC2">
        <w:rPr>
          <w:bCs/>
        </w:rPr>
        <w:t xml:space="preserve"> multitude of those</w:t>
      </w:r>
      <w:r w:rsidR="00162B60">
        <w:rPr>
          <w:bCs/>
        </w:rPr>
        <w:t xml:space="preserve"> </w:t>
      </w:r>
      <w:r w:rsidR="00A75EB2">
        <w:rPr>
          <w:bCs/>
        </w:rPr>
        <w:t>combinations</w:t>
      </w:r>
      <w:r w:rsidR="009532EE">
        <w:rPr>
          <w:bCs/>
        </w:rPr>
        <w:t xml:space="preserve"> needs further work</w:t>
      </w:r>
      <w:r w:rsidR="00693DC2">
        <w:rPr>
          <w:bCs/>
        </w:rPr>
        <w:t xml:space="preserve">. As a result, </w:t>
      </w:r>
      <w:r w:rsidR="00202D7C">
        <w:rPr>
          <w:bCs/>
        </w:rPr>
        <w:t>MUSIM baseline</w:t>
      </w:r>
      <w:r w:rsidR="00D107F1">
        <w:rPr>
          <w:bCs/>
        </w:rPr>
        <w:t xml:space="preserve"> results in a solution very different from legacy in all but the signalling framework</w:t>
      </w:r>
      <w:r w:rsidR="008A17CD">
        <w:rPr>
          <w:bCs/>
        </w:rPr>
        <w:t xml:space="preserve">. </w:t>
      </w:r>
      <w:r w:rsidR="00693DC2" w:rsidRPr="00693DC2">
        <w:rPr>
          <w:bCs/>
        </w:rPr>
        <w:t xml:space="preserve"> </w:t>
      </w:r>
      <w:r w:rsidR="00202D7C">
        <w:rPr>
          <w:bCs/>
        </w:rPr>
        <w:t xml:space="preserve">It can also be expected in </w:t>
      </w:r>
      <w:r w:rsidR="00693DC2" w:rsidRPr="00693DC2">
        <w:rPr>
          <w:bCs/>
        </w:rPr>
        <w:t xml:space="preserve">including </w:t>
      </w:r>
      <w:r w:rsidR="00202D7C">
        <w:rPr>
          <w:bCs/>
        </w:rPr>
        <w:t xml:space="preserve">additional </w:t>
      </w:r>
      <w:r w:rsidR="00693DC2" w:rsidRPr="00693DC2">
        <w:rPr>
          <w:bCs/>
        </w:rPr>
        <w:t>RAN4 work.</w:t>
      </w:r>
    </w:p>
    <w:p w14:paraId="640C4E1F" w14:textId="0D9256DA" w:rsidR="005B5ECB" w:rsidRDefault="00490DFD" w:rsidP="001653CD">
      <w:pPr>
        <w:pStyle w:val="Observation"/>
      </w:pPr>
      <w:bookmarkStart w:id="1" w:name="_Toc118370161"/>
      <w:r>
        <w:t>The “MUSIM gap-like”-</w:t>
      </w:r>
      <w:r w:rsidR="00F955EE">
        <w:t xml:space="preserve"> </w:t>
      </w:r>
      <w:r>
        <w:t xml:space="preserve">approach need further evaluation in RAN2, e.g. </w:t>
      </w:r>
      <w:r w:rsidRPr="00693DC2">
        <w:t>gap-lengths</w:t>
      </w:r>
      <w:r>
        <w:t>,</w:t>
      </w:r>
      <w:r w:rsidRPr="00693DC2">
        <w:t xml:space="preserve"> periodicities</w:t>
      </w:r>
      <w:r>
        <w:t xml:space="preserve">, use of </w:t>
      </w:r>
      <w:r w:rsidRPr="005552B4">
        <w:rPr>
          <w:lang w:val="x-none"/>
        </w:rPr>
        <w:t>aperiodic gap</w:t>
      </w:r>
      <w:r w:rsidRPr="005552B4">
        <w:rPr>
          <w:lang w:val="en-US"/>
        </w:rPr>
        <w:t>s,</w:t>
      </w:r>
      <w:r w:rsidR="00495229">
        <w:rPr>
          <w:lang w:val="en-US"/>
        </w:rPr>
        <w:t xml:space="preserve"> and</w:t>
      </w:r>
      <w:r>
        <w:rPr>
          <w:lang w:val="en-US"/>
        </w:rPr>
        <w:t xml:space="preserve"> </w:t>
      </w:r>
      <w:r w:rsidRPr="005552B4">
        <w:t>the</w:t>
      </w:r>
      <w:r>
        <w:t xml:space="preserve"> applicability of </w:t>
      </w:r>
      <w:r w:rsidRPr="00162B60">
        <w:t>prohibit timer</w:t>
      </w:r>
      <w:r>
        <w:t xml:space="preserve">, </w:t>
      </w:r>
      <w:r w:rsidR="00F4512D">
        <w:t>apart from general usefulness</w:t>
      </w:r>
      <w:r w:rsidR="00A2205D">
        <w:t>.</w:t>
      </w:r>
      <w:bookmarkEnd w:id="1"/>
    </w:p>
    <w:p w14:paraId="489F61B0" w14:textId="63870E9D" w:rsidR="005B5ECB" w:rsidRDefault="005B5ECB" w:rsidP="005B5ECB">
      <w:pPr>
        <w:rPr>
          <w:rFonts w:eastAsia="MS Mincho"/>
          <w:bCs/>
        </w:rPr>
      </w:pPr>
      <w:r>
        <w:rPr>
          <w:rFonts w:eastAsia="MS Mincho"/>
          <w:bCs/>
        </w:rPr>
        <w:t>Additionally, f</w:t>
      </w:r>
      <w:r w:rsidRPr="00F93C05">
        <w:rPr>
          <w:rFonts w:eastAsia="MS Mincho"/>
          <w:bCs/>
        </w:rPr>
        <w:t xml:space="preserve">or </w:t>
      </w:r>
      <w:r>
        <w:rPr>
          <w:rFonts w:eastAsia="MS Mincho"/>
          <w:bCs/>
        </w:rPr>
        <w:t xml:space="preserve">a MUSIM solution, it can be expected that </w:t>
      </w:r>
      <w:r w:rsidRPr="00F93C05">
        <w:rPr>
          <w:rFonts w:eastAsia="MS Mincho"/>
          <w:bCs/>
        </w:rPr>
        <w:t xml:space="preserve">it has been argued that specifically for aperiodic gaps, the DRX solution is not optimal. However, </w:t>
      </w:r>
      <w:r>
        <w:rPr>
          <w:rFonts w:eastAsia="MS Mincho"/>
          <w:bCs/>
          <w:lang w:val="en-US"/>
        </w:rPr>
        <w:t>i</w:t>
      </w:r>
      <w:r w:rsidRPr="00E76093">
        <w:rPr>
          <w:rFonts w:eastAsia="MS Mincho"/>
          <w:bCs/>
          <w:lang w:val="en-US"/>
        </w:rPr>
        <w:t xml:space="preserve">t is </w:t>
      </w:r>
      <w:r>
        <w:rPr>
          <w:rFonts w:eastAsia="MS Mincho"/>
          <w:bCs/>
          <w:lang w:val="en-US"/>
        </w:rPr>
        <w:t>not clear</w:t>
      </w:r>
      <w:r w:rsidRPr="00E76093">
        <w:rPr>
          <w:rFonts w:eastAsia="MS Mincho"/>
          <w:bCs/>
          <w:lang w:val="en-US"/>
        </w:rPr>
        <w:t xml:space="preserve"> </w:t>
      </w:r>
      <w:r>
        <w:rPr>
          <w:rFonts w:eastAsia="MS Mincho"/>
          <w:bCs/>
          <w:lang w:val="en-US"/>
        </w:rPr>
        <w:t>for which data streams the</w:t>
      </w:r>
      <w:r w:rsidRPr="00E76093">
        <w:rPr>
          <w:rFonts w:eastAsia="MS Mincho"/>
          <w:bCs/>
          <w:lang w:val="en-US"/>
        </w:rPr>
        <w:t xml:space="preserve"> aperiodic gap can </w:t>
      </w:r>
      <w:r w:rsidR="00DD7D75">
        <w:rPr>
          <w:rFonts w:eastAsia="MS Mincho"/>
          <w:bCs/>
          <w:lang w:val="en-US"/>
        </w:rPr>
        <w:t xml:space="preserve">be </w:t>
      </w:r>
      <w:r>
        <w:rPr>
          <w:rFonts w:eastAsia="MS Mincho"/>
          <w:bCs/>
          <w:lang w:val="en-US"/>
        </w:rPr>
        <w:t>used and their use in NR</w:t>
      </w:r>
      <w:r w:rsidRPr="00E76093">
        <w:rPr>
          <w:rFonts w:eastAsia="MS Mincho"/>
          <w:bCs/>
          <w:lang w:val="en-US"/>
        </w:rPr>
        <w:t xml:space="preserve"> IDC</w:t>
      </w:r>
      <w:r>
        <w:rPr>
          <w:rFonts w:eastAsia="MS Mincho"/>
          <w:bCs/>
          <w:lang w:val="en-US"/>
        </w:rPr>
        <w:t>. I</w:t>
      </w:r>
      <w:r w:rsidRPr="00F93C05">
        <w:rPr>
          <w:rFonts w:eastAsia="MS Mincho"/>
          <w:bCs/>
        </w:rPr>
        <w:t xml:space="preserve">t can </w:t>
      </w:r>
      <w:r>
        <w:rPr>
          <w:rFonts w:eastAsia="MS Mincho"/>
          <w:bCs/>
        </w:rPr>
        <w:t xml:space="preserve">also </w:t>
      </w:r>
      <w:r w:rsidRPr="00F93C05">
        <w:rPr>
          <w:rFonts w:eastAsia="MS Mincho"/>
          <w:bCs/>
        </w:rPr>
        <w:t xml:space="preserve">be expected that a </w:t>
      </w:r>
      <w:r w:rsidRPr="003E657F">
        <w:rPr>
          <w:rFonts w:eastAsia="MS Mincho"/>
          <w:bCs/>
        </w:rPr>
        <w:t xml:space="preserve">RAN4 </w:t>
      </w:r>
      <w:r>
        <w:rPr>
          <w:rFonts w:eastAsia="MS Mincho"/>
          <w:bCs/>
        </w:rPr>
        <w:t xml:space="preserve">study for supporting </w:t>
      </w:r>
      <w:r w:rsidRPr="003E657F">
        <w:rPr>
          <w:rFonts w:eastAsia="MS Mincho"/>
          <w:bCs/>
        </w:rPr>
        <w:t>aperiodic gap</w:t>
      </w:r>
      <w:r>
        <w:rPr>
          <w:rFonts w:eastAsia="MS Mincho"/>
          <w:bCs/>
        </w:rPr>
        <w:t>s</w:t>
      </w:r>
      <w:r w:rsidRPr="003E657F">
        <w:rPr>
          <w:rFonts w:eastAsia="MS Mincho"/>
          <w:bCs/>
        </w:rPr>
        <w:t xml:space="preserve"> for IDC </w:t>
      </w:r>
      <w:r>
        <w:rPr>
          <w:rFonts w:eastAsia="MS Mincho"/>
          <w:bCs/>
        </w:rPr>
        <w:t>specifically is needed</w:t>
      </w:r>
      <w:r w:rsidRPr="003E657F">
        <w:rPr>
          <w:rFonts w:eastAsia="MS Mincho"/>
          <w:bCs/>
        </w:rPr>
        <w:t xml:space="preserve">, </w:t>
      </w:r>
      <w:r>
        <w:rPr>
          <w:rFonts w:eastAsia="MS Mincho"/>
          <w:bCs/>
        </w:rPr>
        <w:t>which then extends the current plan for defining</w:t>
      </w:r>
      <w:r w:rsidRPr="003E657F">
        <w:rPr>
          <w:rFonts w:eastAsia="MS Mincho"/>
          <w:bCs/>
        </w:rPr>
        <w:t xml:space="preserve"> requirements for TDM solution</w:t>
      </w:r>
      <w:r>
        <w:rPr>
          <w:rFonts w:eastAsia="MS Mincho"/>
          <w:bCs/>
        </w:rPr>
        <w:t xml:space="preserve">. Considering this, the support for optimized solutions using MUSIM need to be of low priority and </w:t>
      </w:r>
      <w:r w:rsidR="00DC0D66">
        <w:rPr>
          <w:rFonts w:eastAsia="MS Mincho"/>
          <w:bCs/>
        </w:rPr>
        <w:t>considered</w:t>
      </w:r>
      <w:r>
        <w:rPr>
          <w:rFonts w:eastAsia="MS Mincho"/>
          <w:bCs/>
        </w:rPr>
        <w:t xml:space="preserve"> as such in the solution selection.</w:t>
      </w:r>
    </w:p>
    <w:p w14:paraId="74535E30" w14:textId="5A321215" w:rsidR="0033694C" w:rsidRPr="00F93C05" w:rsidRDefault="00250E3A" w:rsidP="005B5ECB">
      <w:pPr>
        <w:rPr>
          <w:rFonts w:eastAsia="MS Mincho"/>
          <w:bCs/>
        </w:rPr>
      </w:pPr>
      <w:r>
        <w:rPr>
          <w:bCs/>
        </w:rPr>
        <w:t xml:space="preserve">In summary, it is not evident that a MUSIM based solution </w:t>
      </w:r>
      <w:r w:rsidRPr="00693DC2">
        <w:rPr>
          <w:bCs/>
        </w:rPr>
        <w:t xml:space="preserve">  adds any benefit beyond </w:t>
      </w:r>
      <w:r>
        <w:rPr>
          <w:bCs/>
        </w:rPr>
        <w:t xml:space="preserve">a </w:t>
      </w:r>
      <w:r w:rsidRPr="00693DC2">
        <w:rPr>
          <w:bCs/>
        </w:rPr>
        <w:t>DRX</w:t>
      </w:r>
      <w:r>
        <w:rPr>
          <w:bCs/>
        </w:rPr>
        <w:t>-based one</w:t>
      </w:r>
      <w:r w:rsidRPr="00693DC2">
        <w:rPr>
          <w:bCs/>
        </w:rPr>
        <w:t xml:space="preserve">. </w:t>
      </w:r>
      <w:r>
        <w:rPr>
          <w:bCs/>
        </w:rPr>
        <w:t>It</w:t>
      </w:r>
      <w:r w:rsidRPr="00693DC2">
        <w:rPr>
          <w:bCs/>
        </w:rPr>
        <w:t xml:space="preserve"> </w:t>
      </w:r>
      <w:r>
        <w:rPr>
          <w:bCs/>
        </w:rPr>
        <w:t>seems more like another time pattern mimicking what is already given</w:t>
      </w:r>
      <w:r>
        <w:t xml:space="preserve"> present in DRX but not in current MUSIM.</w:t>
      </w:r>
    </w:p>
    <w:p w14:paraId="2EDEF8C4" w14:textId="304067E9" w:rsidR="00490DFD" w:rsidRPr="00F93C05" w:rsidRDefault="00490DFD" w:rsidP="00490DFD">
      <w:pPr>
        <w:pStyle w:val="Observation"/>
        <w:rPr>
          <w:rFonts w:eastAsia="MS Mincho"/>
        </w:rPr>
      </w:pPr>
      <w:bookmarkStart w:id="2" w:name="_Toc118370162"/>
      <w:r>
        <w:rPr>
          <w:rFonts w:eastAsia="MS Mincho"/>
        </w:rPr>
        <w:t>The “MUSIM gap-like” approach would require significant RAN4 work</w:t>
      </w:r>
      <w:bookmarkEnd w:id="2"/>
    </w:p>
    <w:p w14:paraId="45001F8D" w14:textId="62317FD3" w:rsidR="00721153" w:rsidRDefault="001D5371" w:rsidP="00C15C6E">
      <w:pPr>
        <w:spacing w:after="0"/>
        <w:rPr>
          <w:rFonts w:eastAsia="MS Mincho"/>
          <w:bCs/>
        </w:rPr>
      </w:pPr>
      <w:r>
        <w:t>Comparing 1 and two, one could argue that</w:t>
      </w:r>
      <w:r w:rsidR="00C15C6E">
        <w:t xml:space="preserve"> a MUSIM</w:t>
      </w:r>
      <w:r w:rsidR="006116F2" w:rsidRPr="00D270A8">
        <w:rPr>
          <w:rFonts w:eastAsia="MS Mincho"/>
          <w:bCs/>
        </w:rPr>
        <w:t xml:space="preserve"> based solution </w:t>
      </w:r>
      <w:r w:rsidR="00C15C6E">
        <w:rPr>
          <w:rFonts w:eastAsia="MS Mincho"/>
          <w:bCs/>
        </w:rPr>
        <w:t xml:space="preserve">removes the dependency between </w:t>
      </w:r>
      <w:r w:rsidR="006116F2" w:rsidRPr="00D270A8">
        <w:rPr>
          <w:rFonts w:eastAsia="MS Mincho"/>
          <w:bCs/>
        </w:rPr>
        <w:t xml:space="preserve">the provision of gaps </w:t>
      </w:r>
      <w:r w:rsidR="00C15C6E">
        <w:rPr>
          <w:rFonts w:eastAsia="MS Mincho"/>
          <w:bCs/>
        </w:rPr>
        <w:t>using MUSIM and the</w:t>
      </w:r>
      <w:r w:rsidR="006116F2" w:rsidRPr="00D270A8">
        <w:rPr>
          <w:rFonts w:eastAsia="MS Mincho"/>
          <w:bCs/>
        </w:rPr>
        <w:t xml:space="preserve"> provision of a DRX configuration. </w:t>
      </w:r>
      <w:r w:rsidR="00C15C6E">
        <w:rPr>
          <w:rFonts w:eastAsia="MS Mincho"/>
          <w:bCs/>
        </w:rPr>
        <w:t>However, a</w:t>
      </w:r>
      <w:r w:rsidR="009A6F32" w:rsidRPr="00D270A8">
        <w:rPr>
          <w:rFonts w:eastAsia="MS Mincho"/>
          <w:bCs/>
        </w:rPr>
        <w:t xml:space="preserve"> gap patter </w:t>
      </w:r>
      <w:r w:rsidR="00C15C6E" w:rsidRPr="00D270A8">
        <w:rPr>
          <w:rFonts w:eastAsia="MS Mincho"/>
          <w:bCs/>
        </w:rPr>
        <w:t>overlay</w:t>
      </w:r>
      <w:r w:rsidR="009A6F32" w:rsidRPr="00D270A8">
        <w:rPr>
          <w:rFonts w:eastAsia="MS Mincho"/>
          <w:bCs/>
        </w:rPr>
        <w:t xml:space="preserve"> to a DRX configuration </w:t>
      </w:r>
      <w:r w:rsidR="00C15C6E">
        <w:rPr>
          <w:rFonts w:eastAsia="MS Mincho"/>
          <w:bCs/>
        </w:rPr>
        <w:t xml:space="preserve">will </w:t>
      </w:r>
      <w:r w:rsidR="009A6F32" w:rsidRPr="00D270A8">
        <w:rPr>
          <w:rFonts w:eastAsia="MS Mincho"/>
          <w:bCs/>
        </w:rPr>
        <w:t>anyway impact the choice and “operation” of a UE DRX cycle</w:t>
      </w:r>
      <w:r w:rsidR="00CE4F4A" w:rsidRPr="00D270A8">
        <w:rPr>
          <w:rFonts w:eastAsia="MS Mincho"/>
          <w:bCs/>
        </w:rPr>
        <w:t xml:space="preserve"> configuration</w:t>
      </w:r>
      <w:r w:rsidR="00C93988" w:rsidRPr="00D270A8">
        <w:rPr>
          <w:rFonts w:eastAsia="MS Mincho"/>
          <w:bCs/>
        </w:rPr>
        <w:t xml:space="preserve">. </w:t>
      </w:r>
      <w:r w:rsidR="005B5ECB" w:rsidRPr="00D270A8">
        <w:rPr>
          <w:rFonts w:eastAsia="MS Mincho"/>
          <w:bCs/>
        </w:rPr>
        <w:t>I.e.,</w:t>
      </w:r>
      <w:r w:rsidR="00C93988" w:rsidRPr="00D270A8">
        <w:rPr>
          <w:rFonts w:eastAsia="MS Mincho"/>
          <w:bCs/>
        </w:rPr>
        <w:t xml:space="preserve"> the NW needs </w:t>
      </w:r>
      <w:r w:rsidR="003E244E">
        <w:rPr>
          <w:rFonts w:eastAsia="MS Mincho"/>
          <w:bCs/>
        </w:rPr>
        <w:t xml:space="preserve">to handle the interaction </w:t>
      </w:r>
      <w:r w:rsidR="00C93988" w:rsidRPr="00D270A8">
        <w:rPr>
          <w:rFonts w:eastAsia="MS Mincho"/>
          <w:bCs/>
        </w:rPr>
        <w:t>in</w:t>
      </w:r>
      <w:r w:rsidR="003E244E">
        <w:rPr>
          <w:rFonts w:eastAsia="MS Mincho"/>
          <w:bCs/>
        </w:rPr>
        <w:t xml:space="preserve"> situations using</w:t>
      </w:r>
      <w:r w:rsidR="00C93988" w:rsidRPr="00D270A8">
        <w:rPr>
          <w:rFonts w:eastAsia="MS Mincho"/>
          <w:bCs/>
        </w:rPr>
        <w:t xml:space="preserve"> DRX </w:t>
      </w:r>
      <w:r w:rsidR="003E244E">
        <w:rPr>
          <w:rFonts w:eastAsia="MS Mincho"/>
          <w:bCs/>
        </w:rPr>
        <w:t xml:space="preserve">with a </w:t>
      </w:r>
      <w:r w:rsidR="00C93988" w:rsidRPr="00D270A8">
        <w:rPr>
          <w:rFonts w:eastAsia="MS Mincho"/>
          <w:bCs/>
        </w:rPr>
        <w:t xml:space="preserve">solution with MUSIM </w:t>
      </w:r>
      <w:r w:rsidR="00C15C6E">
        <w:rPr>
          <w:rFonts w:eastAsia="MS Mincho"/>
          <w:bCs/>
        </w:rPr>
        <w:t xml:space="preserve">IDC </w:t>
      </w:r>
      <w:r w:rsidR="00C93988" w:rsidRPr="00D270A8">
        <w:rPr>
          <w:rFonts w:eastAsia="MS Mincho"/>
          <w:bCs/>
        </w:rPr>
        <w:t>gap</w:t>
      </w:r>
      <w:r w:rsidR="00C15C6E">
        <w:rPr>
          <w:rFonts w:eastAsia="MS Mincho"/>
          <w:bCs/>
        </w:rPr>
        <w:t>(s)</w:t>
      </w:r>
      <w:r w:rsidR="00C93988" w:rsidRPr="00D270A8">
        <w:rPr>
          <w:rFonts w:eastAsia="MS Mincho"/>
          <w:bCs/>
        </w:rPr>
        <w:t xml:space="preserve"> on top, </w:t>
      </w:r>
      <w:r w:rsidR="0088138F">
        <w:rPr>
          <w:rFonts w:eastAsia="MS Mincho"/>
          <w:bCs/>
        </w:rPr>
        <w:t xml:space="preserve">possibly requiring an </w:t>
      </w:r>
      <w:r w:rsidR="006C710B">
        <w:rPr>
          <w:rFonts w:eastAsia="MS Mincho"/>
          <w:bCs/>
        </w:rPr>
        <w:t>amended</w:t>
      </w:r>
      <w:r w:rsidR="00C93988" w:rsidRPr="00D270A8">
        <w:rPr>
          <w:rFonts w:eastAsia="MS Mincho"/>
          <w:bCs/>
        </w:rPr>
        <w:t xml:space="preserve"> </w:t>
      </w:r>
      <w:r w:rsidR="006C710B">
        <w:rPr>
          <w:rFonts w:eastAsia="MS Mincho"/>
          <w:bCs/>
        </w:rPr>
        <w:t>/</w:t>
      </w:r>
      <w:r w:rsidR="00C93988" w:rsidRPr="00D270A8">
        <w:rPr>
          <w:rFonts w:eastAsia="MS Mincho"/>
          <w:bCs/>
        </w:rPr>
        <w:t xml:space="preserve">adapted DRX configuration </w:t>
      </w:r>
      <w:r w:rsidR="006C710B">
        <w:rPr>
          <w:rFonts w:eastAsia="MS Mincho"/>
          <w:bCs/>
        </w:rPr>
        <w:t xml:space="preserve">to </w:t>
      </w:r>
      <w:r w:rsidR="00C93988" w:rsidRPr="00D270A8">
        <w:rPr>
          <w:rFonts w:eastAsia="MS Mincho"/>
          <w:bCs/>
        </w:rPr>
        <w:t xml:space="preserve">consider the availability of </w:t>
      </w:r>
      <w:r w:rsidR="006C710B">
        <w:rPr>
          <w:rFonts w:eastAsia="MS Mincho"/>
          <w:bCs/>
        </w:rPr>
        <w:t xml:space="preserve">actual </w:t>
      </w:r>
      <w:r w:rsidR="00C93988" w:rsidRPr="00D270A8">
        <w:rPr>
          <w:rFonts w:eastAsia="MS Mincho"/>
          <w:bCs/>
        </w:rPr>
        <w:t>active time at the UE for scheduling purposes.</w:t>
      </w:r>
    </w:p>
    <w:p w14:paraId="4ADB60D6" w14:textId="77777777" w:rsidR="006C710B" w:rsidRPr="00D270A8" w:rsidRDefault="006C710B" w:rsidP="00C15C6E">
      <w:pPr>
        <w:spacing w:after="0"/>
        <w:rPr>
          <w:rFonts w:eastAsia="MS Mincho"/>
          <w:bCs/>
        </w:rPr>
      </w:pPr>
    </w:p>
    <w:p w14:paraId="4E741077" w14:textId="174E3986" w:rsidR="00064AD0" w:rsidRDefault="008B4C4A" w:rsidP="00A01778">
      <w:pPr>
        <w:rPr>
          <w:rFonts w:eastAsia="MS Mincho"/>
          <w:bCs/>
          <w:lang w:val="en-US"/>
        </w:rPr>
      </w:pPr>
      <w:r>
        <w:rPr>
          <w:rFonts w:eastAsia="MS Mincho"/>
          <w:bCs/>
        </w:rPr>
        <w:lastRenderedPageBreak/>
        <w:t xml:space="preserve">For IDC issues resulting from </w:t>
      </w:r>
      <w:r w:rsidR="00F56866">
        <w:rPr>
          <w:rFonts w:eastAsia="MS Mincho"/>
          <w:bCs/>
        </w:rPr>
        <w:t xml:space="preserve">BT, WLAN etc one can conclude that in general, </w:t>
      </w:r>
      <w:r w:rsidR="00DC02C2">
        <w:rPr>
          <w:rFonts w:eastAsia="MS Mincho"/>
          <w:bCs/>
        </w:rPr>
        <w:t>a</w:t>
      </w:r>
      <w:r w:rsidR="002F5644" w:rsidRPr="00D270A8">
        <w:rPr>
          <w:rFonts w:eastAsia="DengXian"/>
          <w:bCs/>
          <w:sz w:val="22"/>
          <w:szCs w:val="22"/>
          <w:lang w:eastAsia="zh-CN"/>
        </w:rPr>
        <w:t xml:space="preserve"> </w:t>
      </w:r>
      <w:r w:rsidR="00064AD0" w:rsidRPr="00D270A8">
        <w:rPr>
          <w:rFonts w:eastAsia="MS Mincho"/>
          <w:bCs/>
          <w:lang w:val="x-none"/>
        </w:rPr>
        <w:t>DRX solution</w:t>
      </w:r>
      <w:r w:rsidR="002F5644" w:rsidRPr="00D270A8">
        <w:rPr>
          <w:rFonts w:eastAsia="MS Mincho"/>
          <w:bCs/>
          <w:lang w:val="en-US"/>
        </w:rPr>
        <w:t xml:space="preserve"> already</w:t>
      </w:r>
      <w:r w:rsidR="00064AD0" w:rsidRPr="00D270A8">
        <w:rPr>
          <w:rFonts w:eastAsia="MS Mincho"/>
          <w:bCs/>
          <w:lang w:val="x-none"/>
        </w:rPr>
        <w:t xml:space="preserve"> </w:t>
      </w:r>
      <w:r w:rsidR="002F5644" w:rsidRPr="00D270A8">
        <w:rPr>
          <w:rFonts w:eastAsia="MS Mincho"/>
          <w:bCs/>
          <w:lang w:val="en-US"/>
        </w:rPr>
        <w:t>have</w:t>
      </w:r>
      <w:r w:rsidR="00064AD0" w:rsidRPr="00D270A8">
        <w:rPr>
          <w:rFonts w:eastAsia="MS Mincho"/>
          <w:bCs/>
          <w:lang w:val="x-none"/>
        </w:rPr>
        <w:t xml:space="preserve"> wider applicability than </w:t>
      </w:r>
      <w:r w:rsidR="00DC02C2" w:rsidRPr="00DC02C2">
        <w:rPr>
          <w:rFonts w:eastAsia="MS Mincho"/>
          <w:bCs/>
          <w:lang w:val="en-US"/>
        </w:rPr>
        <w:t xml:space="preserve">any of </w:t>
      </w:r>
      <w:r w:rsidR="00064AD0" w:rsidRPr="00D270A8">
        <w:rPr>
          <w:rFonts w:eastAsia="MS Mincho"/>
          <w:bCs/>
          <w:lang w:val="x-none"/>
        </w:rPr>
        <w:t xml:space="preserve">the other solutions and can provide wide range of </w:t>
      </w:r>
      <w:r w:rsidR="002F5644" w:rsidRPr="00D270A8">
        <w:rPr>
          <w:rFonts w:eastAsia="MS Mincho"/>
          <w:bCs/>
          <w:lang w:val="x-none"/>
        </w:rPr>
        <w:t>granularity</w:t>
      </w:r>
      <w:r w:rsidR="00064AD0" w:rsidRPr="00D270A8">
        <w:rPr>
          <w:rFonts w:eastAsia="MS Mincho"/>
          <w:bCs/>
          <w:lang w:val="x-none"/>
        </w:rPr>
        <w:t xml:space="preserve"> for different usage scenarios.</w:t>
      </w:r>
      <w:r w:rsidR="000437BD" w:rsidRPr="000437BD">
        <w:rPr>
          <w:rFonts w:eastAsia="MS Mincho"/>
          <w:bCs/>
          <w:lang w:val="en-US"/>
        </w:rPr>
        <w:t xml:space="preserve"> </w:t>
      </w:r>
      <w:r w:rsidR="00DC02C2">
        <w:rPr>
          <w:rFonts w:eastAsia="MS Mincho"/>
          <w:bCs/>
          <w:lang w:val="en-US"/>
        </w:rPr>
        <w:t>For BT, i</w:t>
      </w:r>
      <w:r w:rsidR="006E7D72">
        <w:rPr>
          <w:rFonts w:eastAsia="MS Mincho"/>
          <w:bCs/>
          <w:lang w:val="en-US"/>
        </w:rPr>
        <w:t xml:space="preserve">t is expected to </w:t>
      </w:r>
      <w:r w:rsidR="00BF163F">
        <w:rPr>
          <w:rFonts w:eastAsia="MS Mincho"/>
          <w:bCs/>
          <w:lang w:val="en-US"/>
        </w:rPr>
        <w:t xml:space="preserve">further </w:t>
      </w:r>
      <w:r w:rsidR="006E7D72">
        <w:rPr>
          <w:rFonts w:eastAsia="MS Mincho"/>
          <w:bCs/>
          <w:lang w:val="en-US"/>
        </w:rPr>
        <w:t xml:space="preserve">evaluate </w:t>
      </w:r>
      <w:r w:rsidR="00DB26C3">
        <w:rPr>
          <w:rFonts w:eastAsia="MS Mincho"/>
          <w:bCs/>
          <w:lang w:val="en-US"/>
        </w:rPr>
        <w:t>what possible</w:t>
      </w:r>
      <w:r>
        <w:rPr>
          <w:rFonts w:eastAsia="MS Mincho"/>
          <w:bCs/>
          <w:lang w:val="en-US"/>
        </w:rPr>
        <w:t xml:space="preserve"> </w:t>
      </w:r>
      <w:r w:rsidR="009814F1">
        <w:rPr>
          <w:rFonts w:eastAsia="MS Mincho"/>
          <w:bCs/>
          <w:lang w:val="en-US"/>
        </w:rPr>
        <w:t xml:space="preserve">shorter </w:t>
      </w:r>
      <w:r>
        <w:rPr>
          <w:rFonts w:eastAsia="MS Mincho"/>
          <w:bCs/>
          <w:lang w:val="en-US"/>
        </w:rPr>
        <w:t>DRX cycle valu</w:t>
      </w:r>
      <w:r w:rsidR="00BF163F">
        <w:rPr>
          <w:rFonts w:eastAsia="MS Mincho"/>
          <w:bCs/>
          <w:lang w:val="en-US"/>
        </w:rPr>
        <w:t>es may be needed, however</w:t>
      </w:r>
      <w:r w:rsidR="009814F1">
        <w:rPr>
          <w:rFonts w:eastAsia="MS Mincho"/>
          <w:bCs/>
          <w:lang w:val="en-US"/>
        </w:rPr>
        <w:t xml:space="preserve"> the complexity in the framework of DRX is not </w:t>
      </w:r>
      <w:r w:rsidR="00A01778">
        <w:rPr>
          <w:rFonts w:eastAsia="MS Mincho"/>
          <w:bCs/>
          <w:lang w:val="en-US"/>
        </w:rPr>
        <w:t>extended.</w:t>
      </w:r>
    </w:p>
    <w:p w14:paraId="6FD86263" w14:textId="352D7D2A" w:rsidR="00C9197F" w:rsidRPr="00F93C05" w:rsidRDefault="00425C05" w:rsidP="00327519">
      <w:pPr>
        <w:rPr>
          <w:rFonts w:eastAsia="MS Mincho"/>
          <w:bCs/>
        </w:rPr>
      </w:pPr>
      <w:r>
        <w:rPr>
          <w:rFonts w:eastAsia="MS Mincho"/>
          <w:bCs/>
        </w:rPr>
        <w:t xml:space="preserve">If we consider an Autonomous denial solution on top of one of 1 and 2 above, </w:t>
      </w:r>
      <w:r w:rsidR="006258DC">
        <w:rPr>
          <w:rFonts w:eastAsia="MS Mincho"/>
          <w:bCs/>
        </w:rPr>
        <w:t xml:space="preserve">one should first recognize the fact that </w:t>
      </w:r>
      <w:r w:rsidR="00EF72CA">
        <w:rPr>
          <w:rFonts w:eastAsia="MS Mincho"/>
          <w:bCs/>
        </w:rPr>
        <w:t>this c</w:t>
      </w:r>
      <w:r w:rsidR="003C0F33" w:rsidRPr="003C0F33">
        <w:rPr>
          <w:rFonts w:eastAsia="MS Mincho"/>
          <w:bCs/>
        </w:rPr>
        <w:t xml:space="preserve">annot be the only solution, </w:t>
      </w:r>
      <w:r w:rsidR="007D5948" w:rsidRPr="003C0F33">
        <w:rPr>
          <w:rFonts w:eastAsia="MS Mincho"/>
          <w:bCs/>
        </w:rPr>
        <w:t>i.e.</w:t>
      </w:r>
      <w:r w:rsidR="007D5948">
        <w:rPr>
          <w:rFonts w:eastAsia="MS Mincho"/>
          <w:bCs/>
        </w:rPr>
        <w:t xml:space="preserve">, </w:t>
      </w:r>
      <w:r w:rsidR="00EF72CA">
        <w:rPr>
          <w:rFonts w:eastAsia="MS Mincho"/>
          <w:bCs/>
        </w:rPr>
        <w:t xml:space="preserve">solution using autonomous gaps </w:t>
      </w:r>
      <w:r w:rsidR="003C0F33" w:rsidRPr="003C0F33">
        <w:rPr>
          <w:rFonts w:eastAsia="MS Mincho"/>
          <w:bCs/>
        </w:rPr>
        <w:t>would only apply for some special</w:t>
      </w:r>
      <w:r w:rsidR="00472EF6">
        <w:rPr>
          <w:rFonts w:eastAsia="MS Mincho"/>
          <w:bCs/>
        </w:rPr>
        <w:t xml:space="preserve"> and rare</w:t>
      </w:r>
      <w:r w:rsidR="003C0F33" w:rsidRPr="003C0F33">
        <w:rPr>
          <w:rFonts w:eastAsia="MS Mincho"/>
          <w:bCs/>
        </w:rPr>
        <w:t xml:space="preserve"> use cases</w:t>
      </w:r>
      <w:r w:rsidR="00EF72CA">
        <w:rPr>
          <w:rFonts w:eastAsia="MS Mincho"/>
          <w:bCs/>
        </w:rPr>
        <w:t xml:space="preserve"> </w:t>
      </w:r>
      <w:r w:rsidR="007D5948">
        <w:rPr>
          <w:rFonts w:eastAsia="MS Mincho"/>
          <w:bCs/>
        </w:rPr>
        <w:t xml:space="preserve">and only apply </w:t>
      </w:r>
      <w:r w:rsidR="00EF72CA">
        <w:rPr>
          <w:rFonts w:eastAsia="MS Mincho"/>
          <w:bCs/>
        </w:rPr>
        <w:t>in addition to another solution (i.e., 1 or 2)</w:t>
      </w:r>
      <w:r w:rsidR="003C0F33" w:rsidRPr="003C0F33">
        <w:rPr>
          <w:rFonts w:eastAsia="MS Mincho"/>
          <w:bCs/>
        </w:rPr>
        <w:t xml:space="preserve">. </w:t>
      </w:r>
      <w:r w:rsidR="00A751EE">
        <w:rPr>
          <w:rFonts w:eastAsia="MS Mincho"/>
          <w:bCs/>
        </w:rPr>
        <w:t xml:space="preserve">Applying such gaps also needs a study to what extent </w:t>
      </w:r>
      <w:r w:rsidR="00A751EE" w:rsidRPr="00A751EE">
        <w:rPr>
          <w:rFonts w:eastAsia="MS Mincho"/>
          <w:bCs/>
        </w:rPr>
        <w:t>cancelling UL transmissions impact Quality of Service and spectrum efficiency</w:t>
      </w:r>
      <w:r w:rsidR="00A751EE">
        <w:rPr>
          <w:rFonts w:eastAsia="MS Mincho"/>
          <w:bCs/>
        </w:rPr>
        <w:t xml:space="preserve">. </w:t>
      </w:r>
      <w:r w:rsidR="003C0F33" w:rsidRPr="003C0F33">
        <w:rPr>
          <w:rFonts w:eastAsia="MS Mincho"/>
          <w:bCs/>
        </w:rPr>
        <w:t xml:space="preserve">Given </w:t>
      </w:r>
      <w:r w:rsidR="007D5948">
        <w:rPr>
          <w:rFonts w:eastAsia="MS Mincho"/>
          <w:bCs/>
        </w:rPr>
        <w:t xml:space="preserve">this </w:t>
      </w:r>
      <w:r w:rsidR="003C0F33" w:rsidRPr="003C0F33">
        <w:rPr>
          <w:rFonts w:eastAsia="MS Mincho"/>
          <w:bCs/>
        </w:rPr>
        <w:t xml:space="preserve">additional </w:t>
      </w:r>
      <w:r w:rsidR="00A751EE" w:rsidRPr="003C0F33">
        <w:rPr>
          <w:rFonts w:eastAsia="MS Mincho"/>
          <w:bCs/>
        </w:rPr>
        <w:t>complexity and</w:t>
      </w:r>
      <w:r w:rsidR="003C0F33" w:rsidRPr="003C0F33">
        <w:rPr>
          <w:rFonts w:eastAsia="MS Mincho"/>
          <w:bCs/>
        </w:rPr>
        <w:t xml:space="preserve"> </w:t>
      </w:r>
      <w:r w:rsidR="006F6BB6">
        <w:rPr>
          <w:rFonts w:eastAsia="MS Mincho"/>
          <w:bCs/>
        </w:rPr>
        <w:t>since</w:t>
      </w:r>
      <w:r w:rsidR="003C0F33" w:rsidRPr="003C0F33">
        <w:rPr>
          <w:rFonts w:eastAsia="MS Mincho"/>
          <w:bCs/>
        </w:rPr>
        <w:t xml:space="preserve"> TDM </w:t>
      </w:r>
      <w:r w:rsidR="007D5948">
        <w:rPr>
          <w:rFonts w:eastAsia="MS Mincho"/>
          <w:bCs/>
        </w:rPr>
        <w:t xml:space="preserve">work in this WI </w:t>
      </w:r>
      <w:r w:rsidR="003C0F33" w:rsidRPr="003C0F33">
        <w:rPr>
          <w:rFonts w:eastAsia="MS Mincho"/>
          <w:bCs/>
        </w:rPr>
        <w:t xml:space="preserve">is </w:t>
      </w:r>
      <w:r w:rsidR="008D4738">
        <w:rPr>
          <w:rFonts w:eastAsia="MS Mincho"/>
          <w:bCs/>
        </w:rPr>
        <w:t>to be considered with</w:t>
      </w:r>
      <w:r w:rsidR="003C0F33" w:rsidRPr="003C0F33">
        <w:rPr>
          <w:rFonts w:eastAsia="MS Mincho"/>
          <w:bCs/>
        </w:rPr>
        <w:t xml:space="preserve"> less importance for NR IDC </w:t>
      </w:r>
      <w:r w:rsidR="005F520E">
        <w:rPr>
          <w:rFonts w:eastAsia="MS Mincho"/>
          <w:bCs/>
        </w:rPr>
        <w:t xml:space="preserve">work </w:t>
      </w:r>
      <w:r w:rsidR="003C0F33" w:rsidRPr="003C0F33">
        <w:rPr>
          <w:rFonts w:eastAsia="MS Mincho"/>
          <w:bCs/>
        </w:rPr>
        <w:t xml:space="preserve">as a whole, the addition may not be feasible. </w:t>
      </w:r>
      <w:r w:rsidR="00A751EE">
        <w:rPr>
          <w:rFonts w:eastAsia="MS Mincho"/>
          <w:bCs/>
        </w:rPr>
        <w:t>An</w:t>
      </w:r>
      <w:r w:rsidR="007D5948">
        <w:rPr>
          <w:rFonts w:eastAsia="MS Mincho"/>
          <w:bCs/>
        </w:rPr>
        <w:t xml:space="preserve"> inclusion also</w:t>
      </w:r>
      <w:r w:rsidR="003C0F33" w:rsidRPr="003C0F33">
        <w:rPr>
          <w:rFonts w:eastAsia="MS Mincho"/>
          <w:bCs/>
        </w:rPr>
        <w:t xml:space="preserve"> includes the risk of increased market fragmentation</w:t>
      </w:r>
      <w:r w:rsidR="005A4C05">
        <w:rPr>
          <w:rFonts w:eastAsia="MS Mincho"/>
          <w:bCs/>
        </w:rPr>
        <w:t xml:space="preserve"> which in practise render the </w:t>
      </w:r>
      <w:r w:rsidR="005F520E">
        <w:rPr>
          <w:rFonts w:eastAsia="MS Mincho"/>
          <w:bCs/>
        </w:rPr>
        <w:t>solution problematic</w:t>
      </w:r>
      <w:r w:rsidR="003C0F33" w:rsidRPr="003C0F33">
        <w:rPr>
          <w:rFonts w:eastAsia="MS Mincho"/>
          <w:bCs/>
        </w:rPr>
        <w:t>.</w:t>
      </w:r>
    </w:p>
    <w:p w14:paraId="228FC9C7" w14:textId="6C1388B0" w:rsidR="00686C88" w:rsidRPr="00D270A8" w:rsidRDefault="00686C88" w:rsidP="00686C88">
      <w:pPr>
        <w:rPr>
          <w:bCs/>
        </w:rPr>
      </w:pPr>
      <w:r w:rsidRPr="00D270A8">
        <w:t xml:space="preserve">In general, IDC TDM is a mechanism where the UE provides a preferred TDM pattern for affected frequencies, where the gNB uses a resulting the TDM pattern based on this. That is, as the final solution not academically linked to a specific solution, e.g. discussions on DRX vs MUSIM, RAN2 should reuse a baseline where the specification for applying such a solution is already </w:t>
      </w:r>
      <w:r w:rsidR="00D45768" w:rsidRPr="00D270A8">
        <w:t>available</w:t>
      </w:r>
      <w:r w:rsidRPr="00D270A8">
        <w:t xml:space="preserve">. Comparing the two mentioned here, it is clear that with only small additions on e.g. </w:t>
      </w:r>
      <w:r w:rsidRPr="00D270A8">
        <w:rPr>
          <w:bCs/>
          <w:lang w:val="en-US"/>
        </w:rPr>
        <w:t>active time start offset, DRX can be readily used for NR TDM IDC. For a MUSIM based solution, it is clear that a</w:t>
      </w:r>
      <w:r w:rsidRPr="00D270A8">
        <w:rPr>
          <w:bCs/>
        </w:rPr>
        <w:t xml:space="preserve"> MUSIM-gap solution requires additional discussion as they have now been defined for another use case. This to evaluate required gap-</w:t>
      </w:r>
      <w:r w:rsidR="00D45768" w:rsidRPr="00D270A8">
        <w:rPr>
          <w:bCs/>
        </w:rPr>
        <w:t>lengths</w:t>
      </w:r>
      <w:r w:rsidRPr="00D270A8">
        <w:rPr>
          <w:bCs/>
        </w:rPr>
        <w:t xml:space="preserve">, periodicities/ multiple periodic gap configurations, aperiodic </w:t>
      </w:r>
      <w:r w:rsidR="0066218B" w:rsidRPr="00D270A8">
        <w:rPr>
          <w:bCs/>
        </w:rPr>
        <w:t>gaps,</w:t>
      </w:r>
      <w:r w:rsidRPr="00D270A8">
        <w:rPr>
          <w:bCs/>
        </w:rPr>
        <w:t xml:space="preserve"> and the use of an associated prohibit timer. This would also add considerable RAN4 work, as can be learnt from </w:t>
      </w:r>
      <w:r w:rsidR="0066218B" w:rsidRPr="00D270A8">
        <w:rPr>
          <w:bCs/>
        </w:rPr>
        <w:t>history.</w:t>
      </w:r>
    </w:p>
    <w:p w14:paraId="7B345AE4" w14:textId="2D92FC69" w:rsidR="00686C88" w:rsidRPr="00D270A8" w:rsidRDefault="00686C88" w:rsidP="007329C2">
      <w:pPr>
        <w:rPr>
          <w:rFonts w:eastAsia="MS Mincho"/>
          <w:bCs/>
        </w:rPr>
      </w:pPr>
      <w:r w:rsidRPr="00D270A8">
        <w:rPr>
          <w:rFonts w:eastAsia="MS Mincho"/>
          <w:bCs/>
        </w:rPr>
        <w:t xml:space="preserve">Given the above and the </w:t>
      </w:r>
      <w:r w:rsidR="00845EF6" w:rsidRPr="00D270A8">
        <w:rPr>
          <w:rFonts w:eastAsia="MS Mincho"/>
          <w:bCs/>
        </w:rPr>
        <w:t>analyse above, we propose:</w:t>
      </w:r>
    </w:p>
    <w:p w14:paraId="21CE0DA0" w14:textId="0A7CCA40" w:rsidR="00DF291B" w:rsidRPr="001653CD" w:rsidRDefault="00DC0D66" w:rsidP="00665445">
      <w:pPr>
        <w:pStyle w:val="Proposal"/>
      </w:pPr>
      <w:bookmarkStart w:id="3" w:name="_Toc118369995"/>
      <w:r w:rsidRPr="00D270A8">
        <w:rPr>
          <w:rFonts w:eastAsia="MS Mincho"/>
        </w:rPr>
        <w:t xml:space="preserve">A single solution </w:t>
      </w:r>
      <w:r>
        <w:rPr>
          <w:rFonts w:eastAsia="MS Mincho"/>
        </w:rPr>
        <w:t>based on DRX</w:t>
      </w:r>
      <w:r w:rsidRPr="00D270A8">
        <w:rPr>
          <w:rFonts w:eastAsia="MS Mincho"/>
        </w:rPr>
        <w:t xml:space="preserve"> </w:t>
      </w:r>
      <w:r>
        <w:rPr>
          <w:rFonts w:eastAsia="MS Mincho"/>
        </w:rPr>
        <w:t>is</w:t>
      </w:r>
      <w:r w:rsidRPr="00D270A8">
        <w:rPr>
          <w:rFonts w:eastAsia="MS Mincho"/>
        </w:rPr>
        <w:t xml:space="preserve"> set as baseline for </w:t>
      </w:r>
      <w:r>
        <w:rPr>
          <w:rFonts w:eastAsia="MS Mincho"/>
        </w:rPr>
        <w:t xml:space="preserve">TDM </w:t>
      </w:r>
      <w:r w:rsidRPr="00D270A8">
        <w:rPr>
          <w:rFonts w:eastAsia="MS Mincho"/>
        </w:rPr>
        <w:t>IDC.</w:t>
      </w:r>
      <w:bookmarkEnd w:id="3"/>
    </w:p>
    <w:p w14:paraId="20D74898" w14:textId="178CEAF3" w:rsidR="00C01F33" w:rsidRPr="00CE0424" w:rsidRDefault="00902613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6E84CAB5" w14:textId="77777777" w:rsidR="0036562B" w:rsidRDefault="0036562B" w:rsidP="001653CD">
      <w:pPr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45920B8" w14:textId="77777777" w:rsidR="008E3A1D" w:rsidRDefault="003656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8370161" w:history="1">
        <w:r w:rsidR="008E3A1D" w:rsidRPr="002A6DFB">
          <w:rPr>
            <w:rStyle w:val="Hyperlink"/>
            <w:noProof/>
          </w:rPr>
          <w:t>Observation 1</w:t>
        </w:r>
        <w:r w:rsidR="008E3A1D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8E3A1D" w:rsidRPr="002A6DFB">
          <w:rPr>
            <w:rStyle w:val="Hyperlink"/>
            <w:noProof/>
          </w:rPr>
          <w:t xml:space="preserve">The “MUSIM gap-like”- approach need further evaluation in RAN2, e.g. gap-lengths, periodicities, use of </w:t>
        </w:r>
        <w:r w:rsidR="008E3A1D" w:rsidRPr="002A6DFB">
          <w:rPr>
            <w:rStyle w:val="Hyperlink"/>
            <w:noProof/>
            <w:lang w:val="x-none"/>
          </w:rPr>
          <w:t>aperiodic gap</w:t>
        </w:r>
        <w:r w:rsidR="008E3A1D" w:rsidRPr="002A6DFB">
          <w:rPr>
            <w:rStyle w:val="Hyperlink"/>
            <w:noProof/>
            <w:lang w:val="en-US"/>
          </w:rPr>
          <w:t xml:space="preserve">s, and </w:t>
        </w:r>
        <w:r w:rsidR="008E3A1D" w:rsidRPr="002A6DFB">
          <w:rPr>
            <w:rStyle w:val="Hyperlink"/>
            <w:noProof/>
          </w:rPr>
          <w:t>the applicability of prohibit timer, apart from general usefulness.</w:t>
        </w:r>
      </w:hyperlink>
    </w:p>
    <w:p w14:paraId="7A490603" w14:textId="77777777" w:rsidR="008E3A1D" w:rsidRDefault="00C0620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hyperlink w:anchor="_Toc118370162" w:history="1">
        <w:r w:rsidR="008E3A1D" w:rsidRPr="002A6DFB">
          <w:rPr>
            <w:rStyle w:val="Hyperlink"/>
            <w:rFonts w:eastAsia="MS Mincho"/>
            <w:noProof/>
          </w:rPr>
          <w:t>Observation 2</w:t>
        </w:r>
        <w:r w:rsidR="008E3A1D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8E3A1D" w:rsidRPr="002A6DFB">
          <w:rPr>
            <w:rStyle w:val="Hyperlink"/>
            <w:rFonts w:eastAsia="MS Mincho"/>
            <w:noProof/>
          </w:rPr>
          <w:t>The “MUSIM gap-like” approach would require significant RAN4 work</w:t>
        </w:r>
      </w:hyperlink>
    </w:p>
    <w:p w14:paraId="0BDB2131" w14:textId="46D8C9FF" w:rsidR="0036562B" w:rsidRDefault="0036562B" w:rsidP="0036562B">
      <w:pPr>
        <w:pStyle w:val="BodyText"/>
        <w:rPr>
          <w:rFonts w:ascii="Times New Roman" w:hAnsi="Times New Roman"/>
        </w:rPr>
      </w:pPr>
      <w:r>
        <w:rPr>
          <w:b/>
          <w:bCs/>
        </w:rPr>
        <w:fldChar w:fldCharType="end"/>
      </w:r>
    </w:p>
    <w:p w14:paraId="4DC87846" w14:textId="325BEE8B" w:rsidR="006E1C82" w:rsidRPr="00D45768" w:rsidRDefault="008E065E" w:rsidP="001653CD">
      <w:r w:rsidRPr="00D45768">
        <w:t xml:space="preserve">Based on the discussion in </w:t>
      </w:r>
      <w:r w:rsidR="007729A2" w:rsidRPr="00D45768">
        <w:t xml:space="preserve">the previous </w:t>
      </w:r>
      <w:r w:rsidRPr="00D45768">
        <w:t>section</w:t>
      </w:r>
      <w:r w:rsidR="007729A2" w:rsidRPr="00D45768">
        <w:t>s</w:t>
      </w:r>
      <w:r w:rsidRPr="00D45768">
        <w:t xml:space="preserve"> we propose the following:</w:t>
      </w:r>
    </w:p>
    <w:p w14:paraId="1AB55DEB" w14:textId="77777777" w:rsidR="00F4512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369995" w:history="1">
        <w:r w:rsidR="00F4512D" w:rsidRPr="00457973">
          <w:rPr>
            <w:rStyle w:val="Hyperlink"/>
            <w:rFonts w:eastAsia="MS Mincho"/>
            <w:noProof/>
          </w:rPr>
          <w:t>Proposal 1</w:t>
        </w:r>
        <w:r w:rsidR="00F4512D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en-GB"/>
          </w:rPr>
          <w:tab/>
        </w:r>
        <w:r w:rsidR="00F4512D" w:rsidRPr="00457973">
          <w:rPr>
            <w:rStyle w:val="Hyperlink"/>
            <w:rFonts w:eastAsia="MS Mincho"/>
            <w:noProof/>
          </w:rPr>
          <w:t>A single solution based on DRX is set as baseline for TDM IDC.</w:t>
        </w:r>
      </w:hyperlink>
    </w:p>
    <w:p w14:paraId="0307436E" w14:textId="07265E3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5A2579A" w14:textId="0D77E0B2" w:rsidR="00CE706A" w:rsidRPr="00CE0424" w:rsidRDefault="00CE706A" w:rsidP="00CE0424">
      <w:pPr>
        <w:pStyle w:val="BodyText"/>
      </w:pPr>
    </w:p>
    <w:sectPr w:rsidR="00CE706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30767" w14:textId="77777777" w:rsidR="00C75D04" w:rsidRDefault="00C75D04">
      <w:r>
        <w:separator/>
      </w:r>
    </w:p>
  </w:endnote>
  <w:endnote w:type="continuationSeparator" w:id="0">
    <w:p w14:paraId="1A69B25A" w14:textId="77777777" w:rsidR="00C75D04" w:rsidRDefault="00C75D04">
      <w:r>
        <w:continuationSeparator/>
      </w:r>
    </w:p>
  </w:endnote>
  <w:endnote w:type="continuationNotice" w:id="1">
    <w:p w14:paraId="6D061A29" w14:textId="77777777" w:rsidR="00C75D04" w:rsidRDefault="00C75D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27A67" w14:textId="77777777" w:rsidR="00C75D04" w:rsidRDefault="00C75D04">
      <w:r>
        <w:separator/>
      </w:r>
    </w:p>
  </w:footnote>
  <w:footnote w:type="continuationSeparator" w:id="0">
    <w:p w14:paraId="6DE18B5F" w14:textId="77777777" w:rsidR="00C75D04" w:rsidRDefault="00C75D04">
      <w:r>
        <w:continuationSeparator/>
      </w:r>
    </w:p>
  </w:footnote>
  <w:footnote w:type="continuationNotice" w:id="1">
    <w:p w14:paraId="7B37896B" w14:textId="77777777" w:rsidR="00C75D04" w:rsidRDefault="00C75D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EA2EB0"/>
    <w:multiLevelType w:val="hybridMultilevel"/>
    <w:tmpl w:val="DF349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9F6FFA"/>
    <w:multiLevelType w:val="hybridMultilevel"/>
    <w:tmpl w:val="4A261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E00797"/>
    <w:multiLevelType w:val="hybridMultilevel"/>
    <w:tmpl w:val="A4C6D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1BC"/>
    <w:multiLevelType w:val="multilevel"/>
    <w:tmpl w:val="9A7890EE"/>
    <w:lvl w:ilvl="0">
      <w:start w:val="1"/>
      <w:numFmt w:val="decimal"/>
      <w:lvlText w:val="%1."/>
      <w:lvlJc w:val="left"/>
      <w:pPr>
        <w:ind w:left="1982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B55CC6"/>
    <w:multiLevelType w:val="hybridMultilevel"/>
    <w:tmpl w:val="A3B01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35ECA"/>
    <w:multiLevelType w:val="multilevel"/>
    <w:tmpl w:val="46835ECA"/>
    <w:lvl w:ilvl="0">
      <w:start w:val="19"/>
      <w:numFmt w:val="bullet"/>
      <w:lvlText w:val="-"/>
      <w:lvlJc w:val="left"/>
      <w:pPr>
        <w:ind w:left="1982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9A36B4"/>
    <w:multiLevelType w:val="hybridMultilevel"/>
    <w:tmpl w:val="0E3202D6"/>
    <w:lvl w:ilvl="0" w:tplc="FFFFFFFF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722617B"/>
    <w:multiLevelType w:val="hybridMultilevel"/>
    <w:tmpl w:val="0E3202D6"/>
    <w:lvl w:ilvl="0" w:tplc="6BB6AF0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9B317CD"/>
    <w:multiLevelType w:val="multilevel"/>
    <w:tmpl w:val="79B317C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668650">
    <w:abstractNumId w:val="5"/>
  </w:num>
  <w:num w:numId="2" w16cid:durableId="1034037858">
    <w:abstractNumId w:val="25"/>
  </w:num>
  <w:num w:numId="3" w16cid:durableId="857157972">
    <w:abstractNumId w:val="20"/>
  </w:num>
  <w:num w:numId="4" w16cid:durableId="1772555374">
    <w:abstractNumId w:val="21"/>
  </w:num>
  <w:num w:numId="5" w16cid:durableId="1832021876">
    <w:abstractNumId w:val="17"/>
  </w:num>
  <w:num w:numId="6" w16cid:durableId="2121222310">
    <w:abstractNumId w:val="23"/>
  </w:num>
  <w:num w:numId="7" w16cid:durableId="628583614">
    <w:abstractNumId w:val="30"/>
  </w:num>
  <w:num w:numId="8" w16cid:durableId="1868717032">
    <w:abstractNumId w:val="18"/>
  </w:num>
  <w:num w:numId="9" w16cid:durableId="431167908">
    <w:abstractNumId w:val="15"/>
  </w:num>
  <w:num w:numId="10" w16cid:durableId="2109697130">
    <w:abstractNumId w:val="2"/>
  </w:num>
  <w:num w:numId="11" w16cid:durableId="390277988">
    <w:abstractNumId w:val="1"/>
  </w:num>
  <w:num w:numId="12" w16cid:durableId="1192302031">
    <w:abstractNumId w:val="0"/>
  </w:num>
  <w:num w:numId="13" w16cid:durableId="1430082270">
    <w:abstractNumId w:val="27"/>
  </w:num>
  <w:num w:numId="14" w16cid:durableId="1677221843">
    <w:abstractNumId w:val="29"/>
  </w:num>
  <w:num w:numId="15" w16cid:durableId="1537278978">
    <w:abstractNumId w:val="22"/>
  </w:num>
  <w:num w:numId="16" w16cid:durableId="671489645">
    <w:abstractNumId w:val="32"/>
  </w:num>
  <w:num w:numId="17" w16cid:durableId="2041776080">
    <w:abstractNumId w:val="11"/>
  </w:num>
  <w:num w:numId="18" w16cid:durableId="950747306">
    <w:abstractNumId w:val="13"/>
  </w:num>
  <w:num w:numId="19" w16cid:durableId="42948788">
    <w:abstractNumId w:val="8"/>
  </w:num>
  <w:num w:numId="20" w16cid:durableId="713190646">
    <w:abstractNumId w:val="35"/>
  </w:num>
  <w:num w:numId="21" w16cid:durableId="1732970607">
    <w:abstractNumId w:val="19"/>
  </w:num>
  <w:num w:numId="22" w16cid:durableId="1279724336">
    <w:abstractNumId w:val="34"/>
  </w:num>
  <w:num w:numId="23" w16cid:durableId="156444166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287926670">
    <w:abstractNumId w:val="26"/>
  </w:num>
  <w:num w:numId="25" w16cid:durableId="1609506122">
    <w:abstractNumId w:val="31"/>
  </w:num>
  <w:num w:numId="26" w16cid:durableId="362290890">
    <w:abstractNumId w:val="14"/>
  </w:num>
  <w:num w:numId="27" w16cid:durableId="1209032694">
    <w:abstractNumId w:val="16"/>
  </w:num>
  <w:num w:numId="28" w16cid:durableId="1379819312">
    <w:abstractNumId w:val="37"/>
  </w:num>
  <w:num w:numId="29" w16cid:durableId="69438249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579102537">
    <w:abstractNumId w:val="33"/>
  </w:num>
  <w:num w:numId="31" w16cid:durableId="923952466">
    <w:abstractNumId w:val="7"/>
  </w:num>
  <w:num w:numId="32" w16cid:durableId="1427119665">
    <w:abstractNumId w:val="4"/>
  </w:num>
  <w:num w:numId="33" w16cid:durableId="2067602560">
    <w:abstractNumId w:val="24"/>
  </w:num>
  <w:num w:numId="34" w16cid:durableId="381708214">
    <w:abstractNumId w:val="12"/>
  </w:num>
  <w:num w:numId="35" w16cid:durableId="1553612763">
    <w:abstractNumId w:val="28"/>
  </w:num>
  <w:num w:numId="36" w16cid:durableId="538397427">
    <w:abstractNumId w:val="9"/>
  </w:num>
  <w:num w:numId="37" w16cid:durableId="1168331179">
    <w:abstractNumId w:val="10"/>
  </w:num>
  <w:num w:numId="38" w16cid:durableId="128132092">
    <w:abstractNumId w:val="6"/>
  </w:num>
  <w:num w:numId="39" w16cid:durableId="1845364398">
    <w:abstractNumId w:val="36"/>
  </w:num>
  <w:num w:numId="40" w16cid:durableId="83881233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 w16cid:durableId="100948173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35A0"/>
    <w:rsid w:val="0000564C"/>
    <w:rsid w:val="00006446"/>
    <w:rsid w:val="00006896"/>
    <w:rsid w:val="00007CDC"/>
    <w:rsid w:val="00011B28"/>
    <w:rsid w:val="00012A80"/>
    <w:rsid w:val="00015D15"/>
    <w:rsid w:val="0001716B"/>
    <w:rsid w:val="0001770B"/>
    <w:rsid w:val="0002564D"/>
    <w:rsid w:val="00025ECA"/>
    <w:rsid w:val="000325B8"/>
    <w:rsid w:val="00034C15"/>
    <w:rsid w:val="00036BA1"/>
    <w:rsid w:val="000422E2"/>
    <w:rsid w:val="00042F22"/>
    <w:rsid w:val="000437BD"/>
    <w:rsid w:val="000444EF"/>
    <w:rsid w:val="00052A07"/>
    <w:rsid w:val="000534E3"/>
    <w:rsid w:val="0005606A"/>
    <w:rsid w:val="00057117"/>
    <w:rsid w:val="000616E7"/>
    <w:rsid w:val="0006487E"/>
    <w:rsid w:val="00064AD0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33D"/>
    <w:rsid w:val="000F06D6"/>
    <w:rsid w:val="000F0EB1"/>
    <w:rsid w:val="000F1106"/>
    <w:rsid w:val="000F3BE9"/>
    <w:rsid w:val="000F3F6C"/>
    <w:rsid w:val="000F6DF3"/>
    <w:rsid w:val="000F7B8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383E"/>
    <w:rsid w:val="00124314"/>
    <w:rsid w:val="00126B4A"/>
    <w:rsid w:val="001317F6"/>
    <w:rsid w:val="00132FD0"/>
    <w:rsid w:val="001344C0"/>
    <w:rsid w:val="001346FA"/>
    <w:rsid w:val="00135252"/>
    <w:rsid w:val="00137AB5"/>
    <w:rsid w:val="00137F0B"/>
    <w:rsid w:val="00146FDC"/>
    <w:rsid w:val="00151E23"/>
    <w:rsid w:val="001526E0"/>
    <w:rsid w:val="001551B5"/>
    <w:rsid w:val="00156C69"/>
    <w:rsid w:val="00162B60"/>
    <w:rsid w:val="001653CD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CB8"/>
    <w:rsid w:val="001D51BA"/>
    <w:rsid w:val="001D5371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2D7C"/>
    <w:rsid w:val="00203F96"/>
    <w:rsid w:val="002069B2"/>
    <w:rsid w:val="00207AAE"/>
    <w:rsid w:val="00207FA3"/>
    <w:rsid w:val="00211044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E3A"/>
    <w:rsid w:val="00257543"/>
    <w:rsid w:val="002617E7"/>
    <w:rsid w:val="00264228"/>
    <w:rsid w:val="00264334"/>
    <w:rsid w:val="0026473E"/>
    <w:rsid w:val="00264C9F"/>
    <w:rsid w:val="00266214"/>
    <w:rsid w:val="00267C83"/>
    <w:rsid w:val="002713B3"/>
    <w:rsid w:val="0027144F"/>
    <w:rsid w:val="00271813"/>
    <w:rsid w:val="00271F3A"/>
    <w:rsid w:val="00273278"/>
    <w:rsid w:val="002737F4"/>
    <w:rsid w:val="002805F5"/>
    <w:rsid w:val="00280751"/>
    <w:rsid w:val="0028280A"/>
    <w:rsid w:val="002838D0"/>
    <w:rsid w:val="00286ACD"/>
    <w:rsid w:val="00287838"/>
    <w:rsid w:val="002907B5"/>
    <w:rsid w:val="00292EB7"/>
    <w:rsid w:val="002949C1"/>
    <w:rsid w:val="00296227"/>
    <w:rsid w:val="00296F44"/>
    <w:rsid w:val="0029777D"/>
    <w:rsid w:val="002A055E"/>
    <w:rsid w:val="002A1D4E"/>
    <w:rsid w:val="002A2869"/>
    <w:rsid w:val="002A76BD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2BA3"/>
    <w:rsid w:val="002F37A9"/>
    <w:rsid w:val="002F5644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A16"/>
    <w:rsid w:val="00324D23"/>
    <w:rsid w:val="003267B7"/>
    <w:rsid w:val="00327519"/>
    <w:rsid w:val="00331751"/>
    <w:rsid w:val="00331AD4"/>
    <w:rsid w:val="00334579"/>
    <w:rsid w:val="00335858"/>
    <w:rsid w:val="0033694C"/>
    <w:rsid w:val="00336BDA"/>
    <w:rsid w:val="00342384"/>
    <w:rsid w:val="00342BD7"/>
    <w:rsid w:val="00346DB5"/>
    <w:rsid w:val="003477B1"/>
    <w:rsid w:val="00357380"/>
    <w:rsid w:val="003602D9"/>
    <w:rsid w:val="003604CE"/>
    <w:rsid w:val="0036562B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091"/>
    <w:rsid w:val="003B159C"/>
    <w:rsid w:val="003B369F"/>
    <w:rsid w:val="003B36A3"/>
    <w:rsid w:val="003B64BB"/>
    <w:rsid w:val="003B7FE5"/>
    <w:rsid w:val="003C0F33"/>
    <w:rsid w:val="003C11C8"/>
    <w:rsid w:val="003C2702"/>
    <w:rsid w:val="003C7806"/>
    <w:rsid w:val="003D109F"/>
    <w:rsid w:val="003D2478"/>
    <w:rsid w:val="003D3C45"/>
    <w:rsid w:val="003D5B1F"/>
    <w:rsid w:val="003E15FA"/>
    <w:rsid w:val="003E244E"/>
    <w:rsid w:val="003E55E4"/>
    <w:rsid w:val="003E657F"/>
    <w:rsid w:val="003E74E3"/>
    <w:rsid w:val="003F05C7"/>
    <w:rsid w:val="003F2CD4"/>
    <w:rsid w:val="003F6BBE"/>
    <w:rsid w:val="004000E8"/>
    <w:rsid w:val="0040204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5C05"/>
    <w:rsid w:val="00427248"/>
    <w:rsid w:val="004313CB"/>
    <w:rsid w:val="00432BEA"/>
    <w:rsid w:val="00437447"/>
    <w:rsid w:val="00441A92"/>
    <w:rsid w:val="004431DC"/>
    <w:rsid w:val="00444F56"/>
    <w:rsid w:val="00446488"/>
    <w:rsid w:val="004517AA"/>
    <w:rsid w:val="00452268"/>
    <w:rsid w:val="00452CAC"/>
    <w:rsid w:val="00457565"/>
    <w:rsid w:val="00457B71"/>
    <w:rsid w:val="004669E2"/>
    <w:rsid w:val="00470C31"/>
    <w:rsid w:val="00471DE0"/>
    <w:rsid w:val="00472EF6"/>
    <w:rsid w:val="004734D0"/>
    <w:rsid w:val="0047556B"/>
    <w:rsid w:val="00477768"/>
    <w:rsid w:val="00485D95"/>
    <w:rsid w:val="00490DFD"/>
    <w:rsid w:val="00492BC5"/>
    <w:rsid w:val="00495229"/>
    <w:rsid w:val="004964F1"/>
    <w:rsid w:val="004A16BC"/>
    <w:rsid w:val="004A2B94"/>
    <w:rsid w:val="004B6F6A"/>
    <w:rsid w:val="004B7C0C"/>
    <w:rsid w:val="004C3898"/>
    <w:rsid w:val="004D0F8F"/>
    <w:rsid w:val="004D36B1"/>
    <w:rsid w:val="004D56E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4D5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0725"/>
    <w:rsid w:val="00546970"/>
    <w:rsid w:val="00554E19"/>
    <w:rsid w:val="005552B4"/>
    <w:rsid w:val="0056121F"/>
    <w:rsid w:val="00565C7B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4C05"/>
    <w:rsid w:val="005A662D"/>
    <w:rsid w:val="005B1409"/>
    <w:rsid w:val="005B1CFA"/>
    <w:rsid w:val="005B35D7"/>
    <w:rsid w:val="005B392A"/>
    <w:rsid w:val="005B3AA3"/>
    <w:rsid w:val="005B5ECB"/>
    <w:rsid w:val="005B6F83"/>
    <w:rsid w:val="005C74FB"/>
    <w:rsid w:val="005D1602"/>
    <w:rsid w:val="005E0E67"/>
    <w:rsid w:val="005E385F"/>
    <w:rsid w:val="005E5B81"/>
    <w:rsid w:val="005F2CB1"/>
    <w:rsid w:val="005F3025"/>
    <w:rsid w:val="005F520E"/>
    <w:rsid w:val="005F618C"/>
    <w:rsid w:val="005F70BD"/>
    <w:rsid w:val="0060283C"/>
    <w:rsid w:val="00602C01"/>
    <w:rsid w:val="00604F14"/>
    <w:rsid w:val="006116F2"/>
    <w:rsid w:val="00611B83"/>
    <w:rsid w:val="00613257"/>
    <w:rsid w:val="00620A71"/>
    <w:rsid w:val="00620D80"/>
    <w:rsid w:val="006234A6"/>
    <w:rsid w:val="006258DC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171"/>
    <w:rsid w:val="00656A92"/>
    <w:rsid w:val="00656DDE"/>
    <w:rsid w:val="0066011D"/>
    <w:rsid w:val="006607C0"/>
    <w:rsid w:val="006613A6"/>
    <w:rsid w:val="0066218B"/>
    <w:rsid w:val="006627A2"/>
    <w:rsid w:val="006634E6"/>
    <w:rsid w:val="00665445"/>
    <w:rsid w:val="006655EE"/>
    <w:rsid w:val="00667EE7"/>
    <w:rsid w:val="00670922"/>
    <w:rsid w:val="00670BE1"/>
    <w:rsid w:val="0067218F"/>
    <w:rsid w:val="006741F2"/>
    <w:rsid w:val="006746FA"/>
    <w:rsid w:val="00674CC3"/>
    <w:rsid w:val="00675C72"/>
    <w:rsid w:val="006771F9"/>
    <w:rsid w:val="006776D7"/>
    <w:rsid w:val="00681003"/>
    <w:rsid w:val="006817C9"/>
    <w:rsid w:val="00683ECE"/>
    <w:rsid w:val="00686C88"/>
    <w:rsid w:val="00693DC2"/>
    <w:rsid w:val="00695FC2"/>
    <w:rsid w:val="00696949"/>
    <w:rsid w:val="00697052"/>
    <w:rsid w:val="006A46E8"/>
    <w:rsid w:val="006A46FB"/>
    <w:rsid w:val="006A5E28"/>
    <w:rsid w:val="006A697B"/>
    <w:rsid w:val="006A7AFF"/>
    <w:rsid w:val="006B1816"/>
    <w:rsid w:val="006B1FA9"/>
    <w:rsid w:val="006B2099"/>
    <w:rsid w:val="006B50CF"/>
    <w:rsid w:val="006B7D60"/>
    <w:rsid w:val="006C03B8"/>
    <w:rsid w:val="006C2BC8"/>
    <w:rsid w:val="006C5EC9"/>
    <w:rsid w:val="006C6059"/>
    <w:rsid w:val="006C710B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E7D72"/>
    <w:rsid w:val="006F0D3D"/>
    <w:rsid w:val="006F1B70"/>
    <w:rsid w:val="006F341D"/>
    <w:rsid w:val="006F3CDE"/>
    <w:rsid w:val="006F58D4"/>
    <w:rsid w:val="006F6582"/>
    <w:rsid w:val="006F6BB6"/>
    <w:rsid w:val="0070346E"/>
    <w:rsid w:val="00704EDB"/>
    <w:rsid w:val="00705A69"/>
    <w:rsid w:val="00706101"/>
    <w:rsid w:val="00707072"/>
    <w:rsid w:val="00707D61"/>
    <w:rsid w:val="00712287"/>
    <w:rsid w:val="00712772"/>
    <w:rsid w:val="007148D3"/>
    <w:rsid w:val="00715B9A"/>
    <w:rsid w:val="00721153"/>
    <w:rsid w:val="007257D0"/>
    <w:rsid w:val="00726EA6"/>
    <w:rsid w:val="00727208"/>
    <w:rsid w:val="00727680"/>
    <w:rsid w:val="007329C2"/>
    <w:rsid w:val="007348B1"/>
    <w:rsid w:val="007362A6"/>
    <w:rsid w:val="00736D7D"/>
    <w:rsid w:val="00740E58"/>
    <w:rsid w:val="007445A0"/>
    <w:rsid w:val="0074524B"/>
    <w:rsid w:val="00747D8B"/>
    <w:rsid w:val="00751228"/>
    <w:rsid w:val="00753ECC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CF0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2F1"/>
    <w:rsid w:val="007C6A07"/>
    <w:rsid w:val="007C75A1"/>
    <w:rsid w:val="007C77A5"/>
    <w:rsid w:val="007D04E5"/>
    <w:rsid w:val="007D5901"/>
    <w:rsid w:val="007D5948"/>
    <w:rsid w:val="007D7526"/>
    <w:rsid w:val="007E064F"/>
    <w:rsid w:val="007E4610"/>
    <w:rsid w:val="007E4715"/>
    <w:rsid w:val="007E505B"/>
    <w:rsid w:val="007E7091"/>
    <w:rsid w:val="007F64D8"/>
    <w:rsid w:val="00803FAE"/>
    <w:rsid w:val="0080605F"/>
    <w:rsid w:val="00807786"/>
    <w:rsid w:val="00811FCB"/>
    <w:rsid w:val="008158D6"/>
    <w:rsid w:val="00817196"/>
    <w:rsid w:val="00817DB2"/>
    <w:rsid w:val="008235DB"/>
    <w:rsid w:val="00824AB4"/>
    <w:rsid w:val="00825C42"/>
    <w:rsid w:val="00825D25"/>
    <w:rsid w:val="00827D6F"/>
    <w:rsid w:val="00827F46"/>
    <w:rsid w:val="008376AC"/>
    <w:rsid w:val="00840833"/>
    <w:rsid w:val="00843DCD"/>
    <w:rsid w:val="008444E8"/>
    <w:rsid w:val="00844E80"/>
    <w:rsid w:val="00845EF6"/>
    <w:rsid w:val="00846FE7"/>
    <w:rsid w:val="00856911"/>
    <w:rsid w:val="00861FB3"/>
    <w:rsid w:val="00866E49"/>
    <w:rsid w:val="008677FD"/>
    <w:rsid w:val="008706D4"/>
    <w:rsid w:val="00870F8A"/>
    <w:rsid w:val="008719A4"/>
    <w:rsid w:val="00871D23"/>
    <w:rsid w:val="0087253F"/>
    <w:rsid w:val="00874312"/>
    <w:rsid w:val="0087437C"/>
    <w:rsid w:val="00875CD7"/>
    <w:rsid w:val="00876B4D"/>
    <w:rsid w:val="00877F18"/>
    <w:rsid w:val="0088138F"/>
    <w:rsid w:val="00884706"/>
    <w:rsid w:val="00890FDF"/>
    <w:rsid w:val="008941E3"/>
    <w:rsid w:val="00894A88"/>
    <w:rsid w:val="00895386"/>
    <w:rsid w:val="008A17C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C4A"/>
    <w:rsid w:val="008B51A0"/>
    <w:rsid w:val="008B592A"/>
    <w:rsid w:val="008B7B5C"/>
    <w:rsid w:val="008C0C99"/>
    <w:rsid w:val="008C2017"/>
    <w:rsid w:val="008C274E"/>
    <w:rsid w:val="008C4958"/>
    <w:rsid w:val="008C4BAA"/>
    <w:rsid w:val="008C6AE8"/>
    <w:rsid w:val="008C7573"/>
    <w:rsid w:val="008D00A5"/>
    <w:rsid w:val="008D2A4C"/>
    <w:rsid w:val="008D34F1"/>
    <w:rsid w:val="008D39D8"/>
    <w:rsid w:val="008D4738"/>
    <w:rsid w:val="008D6D1A"/>
    <w:rsid w:val="008E065E"/>
    <w:rsid w:val="008E0927"/>
    <w:rsid w:val="008E1909"/>
    <w:rsid w:val="008E3A1D"/>
    <w:rsid w:val="008F1EAB"/>
    <w:rsid w:val="008F33DC"/>
    <w:rsid w:val="008F477F"/>
    <w:rsid w:val="00902350"/>
    <w:rsid w:val="00902613"/>
    <w:rsid w:val="0090336B"/>
    <w:rsid w:val="00904D3C"/>
    <w:rsid w:val="009053AA"/>
    <w:rsid w:val="0090633F"/>
    <w:rsid w:val="00906939"/>
    <w:rsid w:val="0091000D"/>
    <w:rsid w:val="00910B7D"/>
    <w:rsid w:val="00911DFB"/>
    <w:rsid w:val="009139D9"/>
    <w:rsid w:val="00914AD8"/>
    <w:rsid w:val="00916079"/>
    <w:rsid w:val="00917CE9"/>
    <w:rsid w:val="00920BF2"/>
    <w:rsid w:val="00922010"/>
    <w:rsid w:val="009317F3"/>
    <w:rsid w:val="00931BD9"/>
    <w:rsid w:val="009338F6"/>
    <w:rsid w:val="009368F3"/>
    <w:rsid w:val="00937B32"/>
    <w:rsid w:val="00941636"/>
    <w:rsid w:val="00943742"/>
    <w:rsid w:val="00945C05"/>
    <w:rsid w:val="00946945"/>
    <w:rsid w:val="00947713"/>
    <w:rsid w:val="00950DE7"/>
    <w:rsid w:val="009510DC"/>
    <w:rsid w:val="009532EE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14F1"/>
    <w:rsid w:val="00985253"/>
    <w:rsid w:val="009853B3"/>
    <w:rsid w:val="00990630"/>
    <w:rsid w:val="00991761"/>
    <w:rsid w:val="00991AE2"/>
    <w:rsid w:val="009943CE"/>
    <w:rsid w:val="00994DCA"/>
    <w:rsid w:val="009960EC"/>
    <w:rsid w:val="009970DD"/>
    <w:rsid w:val="009A0FBA"/>
    <w:rsid w:val="009A11B9"/>
    <w:rsid w:val="009A1601"/>
    <w:rsid w:val="009A3BB6"/>
    <w:rsid w:val="009A462D"/>
    <w:rsid w:val="009A5CBA"/>
    <w:rsid w:val="009A6F32"/>
    <w:rsid w:val="009B1F30"/>
    <w:rsid w:val="009B3AC2"/>
    <w:rsid w:val="009B4DF4"/>
    <w:rsid w:val="009B564E"/>
    <w:rsid w:val="009B7E87"/>
    <w:rsid w:val="009C0169"/>
    <w:rsid w:val="009C403E"/>
    <w:rsid w:val="009D484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1778"/>
    <w:rsid w:val="00A02AFB"/>
    <w:rsid w:val="00A03143"/>
    <w:rsid w:val="00A031D8"/>
    <w:rsid w:val="00A048A8"/>
    <w:rsid w:val="00A04F49"/>
    <w:rsid w:val="00A13E54"/>
    <w:rsid w:val="00A17F63"/>
    <w:rsid w:val="00A20779"/>
    <w:rsid w:val="00A2193B"/>
    <w:rsid w:val="00A2205D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63C8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51EE"/>
    <w:rsid w:val="00A75EB2"/>
    <w:rsid w:val="00A761D4"/>
    <w:rsid w:val="00A77EC4"/>
    <w:rsid w:val="00A92879"/>
    <w:rsid w:val="00A9442A"/>
    <w:rsid w:val="00A971D7"/>
    <w:rsid w:val="00AA016F"/>
    <w:rsid w:val="00AA1ED6"/>
    <w:rsid w:val="00AA2B47"/>
    <w:rsid w:val="00AA3A6F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045"/>
    <w:rsid w:val="00AE40E0"/>
    <w:rsid w:val="00AE4DBA"/>
    <w:rsid w:val="00AE4F07"/>
    <w:rsid w:val="00AF1C5D"/>
    <w:rsid w:val="00AF42D7"/>
    <w:rsid w:val="00AF5A65"/>
    <w:rsid w:val="00B006FE"/>
    <w:rsid w:val="00B007CB"/>
    <w:rsid w:val="00B02AA9"/>
    <w:rsid w:val="00B02FA3"/>
    <w:rsid w:val="00B05084"/>
    <w:rsid w:val="00B157F9"/>
    <w:rsid w:val="00B20256"/>
    <w:rsid w:val="00B20D09"/>
    <w:rsid w:val="00B25721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16B"/>
    <w:rsid w:val="00B548B7"/>
    <w:rsid w:val="00B61A3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2BC0"/>
    <w:rsid w:val="00BB51E9"/>
    <w:rsid w:val="00BB732E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163F"/>
    <w:rsid w:val="00BF3279"/>
    <w:rsid w:val="00BF74C7"/>
    <w:rsid w:val="00C01487"/>
    <w:rsid w:val="00C015F1"/>
    <w:rsid w:val="00C01F33"/>
    <w:rsid w:val="00C02CC6"/>
    <w:rsid w:val="00C040F7"/>
    <w:rsid w:val="00C044AB"/>
    <w:rsid w:val="00C05706"/>
    <w:rsid w:val="00C0620B"/>
    <w:rsid w:val="00C07377"/>
    <w:rsid w:val="00C10478"/>
    <w:rsid w:val="00C12107"/>
    <w:rsid w:val="00C14D4B"/>
    <w:rsid w:val="00C154BB"/>
    <w:rsid w:val="00C15C6E"/>
    <w:rsid w:val="00C268E6"/>
    <w:rsid w:val="00C279B5"/>
    <w:rsid w:val="00C27C45"/>
    <w:rsid w:val="00C3719D"/>
    <w:rsid w:val="00C37CB2"/>
    <w:rsid w:val="00C411D1"/>
    <w:rsid w:val="00C473A5"/>
    <w:rsid w:val="00C54995"/>
    <w:rsid w:val="00C54D41"/>
    <w:rsid w:val="00C55E74"/>
    <w:rsid w:val="00C60783"/>
    <w:rsid w:val="00C64672"/>
    <w:rsid w:val="00C70697"/>
    <w:rsid w:val="00C72093"/>
    <w:rsid w:val="00C72EF4"/>
    <w:rsid w:val="00C744FE"/>
    <w:rsid w:val="00C75D04"/>
    <w:rsid w:val="00C75D2F"/>
    <w:rsid w:val="00C767BE"/>
    <w:rsid w:val="00C76E3C"/>
    <w:rsid w:val="00C81568"/>
    <w:rsid w:val="00C82CB3"/>
    <w:rsid w:val="00C9027A"/>
    <w:rsid w:val="00C9068E"/>
    <w:rsid w:val="00C9197F"/>
    <w:rsid w:val="00C93814"/>
    <w:rsid w:val="00C93988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9B0"/>
    <w:rsid w:val="00CC7B45"/>
    <w:rsid w:val="00CD1188"/>
    <w:rsid w:val="00CD2ED1"/>
    <w:rsid w:val="00CD337B"/>
    <w:rsid w:val="00CE0424"/>
    <w:rsid w:val="00CE2D25"/>
    <w:rsid w:val="00CE4F4A"/>
    <w:rsid w:val="00CE706A"/>
    <w:rsid w:val="00CE7561"/>
    <w:rsid w:val="00CF1354"/>
    <w:rsid w:val="00CF3B1F"/>
    <w:rsid w:val="00CF3BF6"/>
    <w:rsid w:val="00CF625B"/>
    <w:rsid w:val="00CF687E"/>
    <w:rsid w:val="00D0349B"/>
    <w:rsid w:val="00D10249"/>
    <w:rsid w:val="00D107F1"/>
    <w:rsid w:val="00D115C3"/>
    <w:rsid w:val="00D11897"/>
    <w:rsid w:val="00D13135"/>
    <w:rsid w:val="00D13E4E"/>
    <w:rsid w:val="00D239A7"/>
    <w:rsid w:val="00D23F47"/>
    <w:rsid w:val="00D270A8"/>
    <w:rsid w:val="00D36E71"/>
    <w:rsid w:val="00D37D87"/>
    <w:rsid w:val="00D40B33"/>
    <w:rsid w:val="00D4318F"/>
    <w:rsid w:val="00D438BF"/>
    <w:rsid w:val="00D440F8"/>
    <w:rsid w:val="00D45768"/>
    <w:rsid w:val="00D52324"/>
    <w:rsid w:val="00D545DE"/>
    <w:rsid w:val="00D546FF"/>
    <w:rsid w:val="00D55AD5"/>
    <w:rsid w:val="00D576CA"/>
    <w:rsid w:val="00D57BFF"/>
    <w:rsid w:val="00D6037E"/>
    <w:rsid w:val="00D61AF5"/>
    <w:rsid w:val="00D652B5"/>
    <w:rsid w:val="00D66155"/>
    <w:rsid w:val="00D67448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235"/>
    <w:rsid w:val="00D94AD4"/>
    <w:rsid w:val="00DA305E"/>
    <w:rsid w:val="00DA5417"/>
    <w:rsid w:val="00DA56E8"/>
    <w:rsid w:val="00DB0A9F"/>
    <w:rsid w:val="00DB26C3"/>
    <w:rsid w:val="00DB2FDE"/>
    <w:rsid w:val="00DB377D"/>
    <w:rsid w:val="00DC02C2"/>
    <w:rsid w:val="00DC0D66"/>
    <w:rsid w:val="00DC2D36"/>
    <w:rsid w:val="00DC53EF"/>
    <w:rsid w:val="00DD7D75"/>
    <w:rsid w:val="00DE5608"/>
    <w:rsid w:val="00DE58D0"/>
    <w:rsid w:val="00DE654F"/>
    <w:rsid w:val="00DF0B6E"/>
    <w:rsid w:val="00DF15E0"/>
    <w:rsid w:val="00DF291B"/>
    <w:rsid w:val="00DF37A0"/>
    <w:rsid w:val="00DF66E1"/>
    <w:rsid w:val="00E02504"/>
    <w:rsid w:val="00E110E7"/>
    <w:rsid w:val="00E11B20"/>
    <w:rsid w:val="00E17FA2"/>
    <w:rsid w:val="00E21269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470"/>
    <w:rsid w:val="00E3723A"/>
    <w:rsid w:val="00E37860"/>
    <w:rsid w:val="00E446F1"/>
    <w:rsid w:val="00E46886"/>
    <w:rsid w:val="00E475D4"/>
    <w:rsid w:val="00E47AEF"/>
    <w:rsid w:val="00E52A82"/>
    <w:rsid w:val="00E53B75"/>
    <w:rsid w:val="00E54E3B"/>
    <w:rsid w:val="00E57565"/>
    <w:rsid w:val="00E63838"/>
    <w:rsid w:val="00E64434"/>
    <w:rsid w:val="00E67C51"/>
    <w:rsid w:val="00E72EFC"/>
    <w:rsid w:val="00E758EC"/>
    <w:rsid w:val="00E76093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F87"/>
    <w:rsid w:val="00EA7A41"/>
    <w:rsid w:val="00EA7C88"/>
    <w:rsid w:val="00EB077B"/>
    <w:rsid w:val="00EB2385"/>
    <w:rsid w:val="00EB4EA2"/>
    <w:rsid w:val="00EC24D5"/>
    <w:rsid w:val="00EC27C6"/>
    <w:rsid w:val="00EC4207"/>
    <w:rsid w:val="00EC5653"/>
    <w:rsid w:val="00EC71CE"/>
    <w:rsid w:val="00ED1006"/>
    <w:rsid w:val="00ED26E2"/>
    <w:rsid w:val="00EF18FE"/>
    <w:rsid w:val="00EF2D66"/>
    <w:rsid w:val="00EF5787"/>
    <w:rsid w:val="00EF60D0"/>
    <w:rsid w:val="00EF72CA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512D"/>
    <w:rsid w:val="00F4766C"/>
    <w:rsid w:val="00F5060E"/>
    <w:rsid w:val="00F50767"/>
    <w:rsid w:val="00F507D1"/>
    <w:rsid w:val="00F519CE"/>
    <w:rsid w:val="00F51ADA"/>
    <w:rsid w:val="00F56866"/>
    <w:rsid w:val="00F57101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1B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3C05"/>
    <w:rsid w:val="00F955EE"/>
    <w:rsid w:val="00F96985"/>
    <w:rsid w:val="00F97838"/>
    <w:rsid w:val="00FA2BB3"/>
    <w:rsid w:val="00FA3F27"/>
    <w:rsid w:val="00FA6726"/>
    <w:rsid w:val="00FB4C80"/>
    <w:rsid w:val="00FB6A6A"/>
    <w:rsid w:val="00FB7753"/>
    <w:rsid w:val="00FC7429"/>
    <w:rsid w:val="00FD07F6"/>
    <w:rsid w:val="00FD1EC8"/>
    <w:rsid w:val="00FD47ED"/>
    <w:rsid w:val="00FD74DB"/>
    <w:rsid w:val="00FD7660"/>
    <w:rsid w:val="00FE026E"/>
    <w:rsid w:val="00FE0655"/>
    <w:rsid w:val="00FE2365"/>
    <w:rsid w:val="00FE37D7"/>
    <w:rsid w:val="00FE4C7B"/>
    <w:rsid w:val="00FE7336"/>
    <w:rsid w:val="00FE787C"/>
    <w:rsid w:val="00FF45A5"/>
    <w:rsid w:val="00FF5247"/>
    <w:rsid w:val="00FF53A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EmailDiscussion2">
    <w:name w:val="EmailDiscussion2"/>
    <w:basedOn w:val="Doc-text2"/>
    <w:qFormat/>
    <w:rsid w:val="00DB2FDE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EmailDiscussionChar">
    <w:name w:val="EmailDiscussion Char"/>
    <w:link w:val="EmailDiscussion"/>
    <w:qFormat/>
    <w:rsid w:val="00DB2FDE"/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485D95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7571E5-2C7B-47DD-9806-85562EAD3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0</TotalTime>
  <Pages>3</Pages>
  <Words>1409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8840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Henrik Enbuske</cp:lastModifiedBy>
  <cp:revision>2</cp:revision>
  <cp:lastPrinted>2008-01-31T07:09:00Z</cp:lastPrinted>
  <dcterms:created xsi:type="dcterms:W3CDTF">2022-11-04T07:57:00Z</dcterms:created>
  <dcterms:modified xsi:type="dcterms:W3CDTF">2022-11-04T07:57:00Z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